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Strategic Advisory Report</w:t>
      </w:r>
    </w:p>
    <w:p>
      <w:r>
        <w:t>**Key Findings (supported by trial data)**</w:t>
      </w:r>
    </w:p>
    <w:p>
      <w:pPr>
        <w:pStyle w:val="ListBullet"/>
      </w:pPr>
      <w:r>
        <w:t>The Phase III trial enrolled 6,400 patients across 48 sites in North America and Western Europe.</w:t>
      </w:r>
    </w:p>
    <w:p>
      <w:pPr>
        <w:pStyle w:val="ListBullet"/>
      </w:pPr>
      <w:r>
        <w:t>CardiaGuard achieved a 42 % relative reduction in major cardiovascular events over a 24‑month period.</w:t>
      </w:r>
    </w:p>
    <w:p>
      <w:pPr>
        <w:pStyle w:val="ListBullet"/>
      </w:pPr>
      <w:r>
        <w:t>Primary efficacy endpoints were met with high statistical significance (p &lt; 0.001).</w:t>
      </w:r>
    </w:p>
    <w:p>
      <w:pPr>
        <w:pStyle w:val="ListBullet"/>
      </w:pPr>
      <w:r>
        <w:t>Safety outcomes were comparable to placebo (adverse event rates 3.1 % vs. 2.9 %).</w:t>
      </w:r>
    </w:p>
    <w:p>
      <w:r>
        <w:t>**Practical Implications and Recommendations**</w:t>
      </w:r>
    </w:p>
    <w:p>
      <w:r>
        <w:t>1. **Regulatory Strategy**</w:t>
      </w:r>
    </w:p>
    <w:p>
      <w:pPr>
        <w:pStyle w:val="ListBullet"/>
      </w:pPr>
      <w:r>
        <w:t>Initiate a priority FDA filing no later than Q1 2027, as advised by the clinical advisory board.</w:t>
      </w:r>
    </w:p>
    <w:p>
      <w:pPr>
        <w:pStyle w:val="ListBullet"/>
      </w:pPr>
      <w:r>
        <w:t>Emphasize the robust efficacy (42 % event reduction) and the statistically significant primary endpoints in the submission dossier.</w:t>
      </w:r>
    </w:p>
    <w:p>
      <w:pPr>
        <w:pStyle w:val="ListBullet"/>
      </w:pPr>
      <w:r>
        <w:t>Highlight the favorable safety profile, noting that adverse event rates are essentially equivalent to placebo.</w:t>
      </w:r>
    </w:p>
    <w:p>
      <w:r>
        <w:t>2. **Market Preparation**</w:t>
      </w:r>
    </w:p>
    <w:p>
      <w:pPr>
        <w:pStyle w:val="ListBullet"/>
      </w:pPr>
      <w:r>
        <w:t>Prioritize launch planning in the regions where the trial was conducted—North America and Western Europe—since the data are directly relevant to these markets.</w:t>
      </w:r>
    </w:p>
    <w:p>
      <w:pPr>
        <w:pStyle w:val="ListBullet"/>
      </w:pPr>
      <w:r>
        <w:t>Develop physician education programs that focus on the magnitude of cardiovascular risk reduction and the comparable safety to existing therapies.</w:t>
      </w:r>
    </w:p>
    <w:p>
      <w:r>
        <w:t>3. **Stakeholder Communication**</w:t>
      </w:r>
    </w:p>
    <w:p>
      <w:pPr>
        <w:pStyle w:val="ListBullet"/>
      </w:pPr>
      <w:r>
        <w:t>Prepare clear messaging for investors and partners that underscores the trial’s large sample size (6,400 patients) and the statistically robust results.</w:t>
      </w:r>
    </w:p>
    <w:p>
      <w:pPr>
        <w:pStyle w:val="ListBullet"/>
      </w:pPr>
      <w:r>
        <w:t>Use the 24‑month follow‑up period to demonstrate sustained benefit when discussing long‑term value with payers.</w:t>
      </w:r>
    </w:p>
    <w:p>
      <w:r>
        <w:t>4. **Post‑Approval Planning**</w:t>
      </w:r>
    </w:p>
    <w:p>
      <w:pPr>
        <w:pStyle w:val="ListBullet"/>
      </w:pPr>
      <w:r>
        <w:t>Design post‑marketing surveillance to continue monitoring adverse events, reinforcing the trial’s finding of a low event rate (3.1 %).</w:t>
      </w:r>
    </w:p>
    <w:p>
      <w:pPr>
        <w:pStyle w:val="ListBullet"/>
      </w:pPr>
      <w:r>
        <w:t>Consider additional real‑world evidence studies in the same geographic regions to validate efficacy and safety in broader patient populations.</w:t>
      </w:r>
    </w:p>
    <w:p>
      <w:r>
        <w:t>5. **Operational Considerations**</w:t>
      </w:r>
    </w:p>
    <w:p>
      <w:pPr>
        <w:pStyle w:val="ListBullet"/>
      </w:pPr>
      <w:r>
        <w:t>Leverage the network of the 48 clinical research sites for rapid rollout of post‑approval studies or expanded access programs.</w:t>
      </w:r>
    </w:p>
    <w:p>
      <w:pPr>
        <w:pStyle w:val="ListBullet"/>
      </w:pPr>
      <w:r>
        <w:t>Align manufacturing capacity with anticipated demand in North America and Western Europe to avoid supply constraints at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