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32"/>
          <w:szCs w:val="32"/>
        </w:rPr>
        <w:t xml:space="preserve">ACME CORPORATION - TAX INVOICE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375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Invoice Number: INV-2026-0891</w:t>
            </w:r>
          </w:p>
        </w:tc>
        <w:tc>
          <w:tcPr>
            <w:tcW w:type="dxa" w:w="5625"/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Customer: Global Tech Enterprises</w:t>
            </w:r>
          </w:p>
        </w:tc>
      </w:tr>
      <w:tr>
        <w:trPr>
          <w:tblHeader w:val="false"/>
        </w:trPr>
        <w:tc>
          <w:tcPr>
            <w:tcW w:type="dxa" w:w="3375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Invoice Date: 2026-09-20</w:t>
            </w:r>
          </w:p>
        </w:tc>
        <w:tc>
          <w:tcPr>
            <w:tcW w:type="dxa" w:w="5625"/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GSTIN / Tax ID: 27AABCG1234F1Z5</w:t>
            </w:r>
          </w:p>
        </w:tc>
      </w:tr>
      <w:tr>
        <w:trPr>
          <w:tblHeader w:val="false"/>
        </w:trPr>
        <w:tc>
          <w:tcPr>
            <w:tcW w:type="dxa" w:w="3375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Payment Terms: Net 30</w:t>
            </w:r>
          </w:p>
        </w:tc>
        <w:tc>
          <w:tcPr>
            <w:tcW w:type="dxa" w:w="5625"/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Billing Address: 402 Silicon Heights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#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Qty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Unit Rate ($)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($)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Cloud Infrastructure Consulting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40 hrs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150.00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6,000.00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Full-Stack Web App Migration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80 hrs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120.00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9,600.00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High-Fidelity PDF Engine Integration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 lic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2,500.00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2,500.00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Database Performance Optimization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25 hrs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140.00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3,500.00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24/7 Enterprise SLA Support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mos</w:t>
            </w:r>
          </w:p>
        </w:tc>
        <w:tc>
          <w:tcPr>
            <w:tcW w:type="dxa" w:w="225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800.00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2,400.00</w:t>
            </w:r>
          </w:p>
        </w:tc>
      </w:tr>
      <w:tr>
        <w:trPr>
          <w:tblHeader w:val="false"/>
        </w:trPr>
        <w:tc>
          <w:tcPr>
            <w:tcW w:type="dxa" w:w="7875"/>
            <w:gridSpan w:val="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Subtotal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24,000.00</w:t>
            </w:r>
          </w:p>
        </w:tc>
      </w:tr>
      <w:tr>
        <w:trPr>
          <w:tblHeader w:val="false"/>
        </w:trPr>
        <w:tc>
          <w:tcPr>
            <w:tcW w:type="dxa" w:w="7875"/>
            <w:gridSpan w:val="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GST / VAT (18%)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4,320.00</w:t>
            </w:r>
          </w:p>
        </w:tc>
      </w:tr>
      <w:tr>
        <w:trPr>
          <w:tblHeader w:val="false"/>
        </w:trPr>
        <w:tc>
          <w:tcPr>
            <w:tcW w:type="dxa" w:w="7875"/>
            <w:gridSpan w:val="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$28,320.00</w:t>
            </w:r>
          </w:p>
        </w:tc>
      </w:tr>
    </w:tbl>
    <w:p>
      <w:pPr>
        <w:spacing w:after="120" w:before="120"/>
      </w:pP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Notes &amp; Instructions: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• Payment is due within 30 days of invoice date.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• Wire transfers should reference invoice INV-2026-0891.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• For billing queries, contact accounts@acme-corp.com.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2026-09-20T02:26:24.910Z</dcterms:created>
  <dcterms:modified xsi:type="dcterms:W3CDTF">2026-09-20T02:26:24.911Z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