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QUARTERLY PERFORMANCE REPORT</w:t>
      </w:r>
    </w:p>
    <w:p>
      <w:pPr>
        <w:spacing w:after="160"/>
      </w:pPr>
      <w:r>
        <w:rPr>
          <w:i/>
          <w:iCs/>
          <w:color w:val="475569"/>
          <w:sz w:val="22"/>
          <w:szCs w:val="22"/>
        </w:rPr>
        <w:t xml:space="preserve">Executive Summary for Q3 FY2026. Review of operational KPIs, revenue targets, and delivery metrics.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gridSpan w:val="2"/>
            <w:tcBorders>
              <w:top w:val="single" w:color="1E3A8A" w:sz="6"/>
              <w:left w:val="single" w:color="1E3A8A" w:sz="6"/>
              <w:bottom w:val="single" w:color="1E3A8A" w:sz="6"/>
              <w:right w:val="single" w:color="1E3A8A" w:sz="6"/>
            </w:tcBorders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Metrics (USD)</w:t>
            </w:r>
          </w:p>
        </w:tc>
        <w:tc>
          <w:tcPr>
            <w:tcW w:type="dxa" w:w="4500"/>
            <w:gridSpan w:val="2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Operational KPIs</w:t>
            </w:r>
          </w:p>
        </w:tc>
      </w:tr>
      <w:tr>
        <w:trPr>
          <w:tblHeader/>
        </w:trPr>
        <w:tc>
          <w:tcPr>
            <w:tcW w:type="dxa" w:w="2250"/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tcW w:type="dxa" w:w="2250"/>
            <w:shd w:fill="F1F5F9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Target ($M)</w:t>
            </w:r>
          </w:p>
        </w:tc>
        <w:tc>
          <w:tcPr>
            <w:tcW w:type="dxa" w:w="2250"/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250"/>
            <w:shd w:fill="F1F5F9" w:val="clea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Enterprise SaaS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$14.2M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Uptime SLA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99.98%</w:t>
            </w:r>
          </w:p>
        </w:tc>
      </w:tr>
      <w:tr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Consulting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$8.5M</w:t>
            </w:r>
          </w:p>
        </w:tc>
        <w:tc>
          <w:tcPr>
            <w:tcW w:type="dxa" w:w="2250"/>
          </w:tcPr>
          <w:p>
            <w:r>
              <w:rPr>
                <w:sz w:val="18"/>
                <w:szCs w:val="18"/>
              </w:rPr>
              <w:t xml:space="preserve">CSAT Score</w:t>
            </w:r>
          </w:p>
        </w:tc>
        <w:tc>
          <w:tcPr>
            <w:tcW w:type="dxa" w:w="2250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4.8 / 5.0</w:t>
            </w:r>
          </w:p>
        </w:tc>
      </w:tr>
      <w:tr>
        <w:tc>
          <w:tcPr>
            <w:tcW w:type="dxa" w:w="6750"/>
            <w:gridSpan w:val="3"/>
            <w:shd w:fill="E2E8F0" w:val="clea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Total Performance Score:</w:t>
            </w:r>
          </w:p>
        </w:tc>
        <w:tc>
          <w:tcPr>
            <w:tcW w:type="dxa" w:w="2250"/>
            <w:shd w:fill="E2E8F0" w:val="clear"/>
          </w:tcPr>
          <w:p>
            <w:pPr>
              <w:jc w:val="righ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EXCEEDED (112%)</w:t>
            </w:r>
          </w:p>
        </w:tc>
      </w:tr>
    </w:tbl>
    <w:p>
      <w:pPr>
        <w:spacing w:after="120" w:before="240"/>
      </w:pPr>
    </w:p>
    <w:p>
      <w:pPr>
        <w:pStyle w:val="Heading2"/>
      </w:pPr>
      <w:r>
        <w:rPr>
          <w:b/>
          <w:bCs/>
          <w:color w:val="2563EB"/>
          <w:sz w:val="26"/>
          <w:szCs w:val="26"/>
        </w:rPr>
        <w:t xml:space="preserve">Key Strategic Highlights</w:t>
      </w:r>
    </w:p>
    <w:p>
      <w:pPr>
        <w:spacing w:after="60" w:before="80"/>
      </w:pPr>
      <w:r>
        <w:rPr>
          <w:b/>
          <w:bCs/>
        </w:rPr>
        <w:t xml:space="preserve">• </w:t>
      </w:r>
      <w:r>
        <w:t xml:space="preserve">Expanded customer base by 34% across North America and APAC regions.</w:t>
      </w:r>
    </w:p>
    <w:p>
      <w:pPr>
        <w:spacing w:after="60" w:before="60"/>
      </w:pPr>
      <w:r>
        <w:rPr>
          <w:b/>
          <w:bCs/>
        </w:rPr>
        <w:t xml:space="preserve">• </w:t>
      </w:r>
      <w:r>
        <w:t xml:space="preserve">Reduced customer onboarding latency from 14 days down to 3 business days.</w:t>
      </w:r>
    </w:p>
    <w:p>
      <w:pPr>
        <w:spacing w:after="160" w:before="60"/>
      </w:pPr>
      <w:r>
        <w:rPr>
          <w:b/>
          <w:bCs/>
        </w:rPr>
        <w:t xml:space="preserve">• </w:t>
      </w:r>
      <w:r>
        <w:t xml:space="preserve">Achieved ISO 27001 and SOC 2 Type II compliance certifications.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2026-09-20T02:23:08.231Z</dcterms:created>
  <dcterms:modified xsi:type="dcterms:W3CDTF">2026-09-20T02:23:08.232Z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