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rFonts w:ascii="Times New Roman" w:hAnsi="Times New Roman"/>
          <w:b/>
          <w:i w:val="0"/>
          <w:color w:val="0F2C5F"/>
          <w:sz w:val="32"/>
        </w:rPr>
        <w:t>TriSpecWaveMambaUQ: Physics-Informed Multi-Spectral Super-Resolution with State Space Models and Calibrated Uncertainty Quantification for Sentinel-2 MSI</w:t>
      </w:r>
    </w:p>
    <w:p>
      <w:pPr>
        <w:spacing w:before="40" w:after="40"/>
        <w:jc w:val="center"/>
      </w:pPr>
      <w:r>
        <w:rPr>
          <w:rFonts w:ascii="Times New Roman" w:hAnsi="Times New Roman"/>
          <w:b/>
          <w:i w:val="0"/>
          <w:color w:val="5A5A6E"/>
          <w:sz w:val="20"/>
        </w:rPr>
        <w:t>AIES MINI PROJECT PAPER</w:t>
      </w:r>
    </w:p>
    <w:p>
      <w:pPr>
        <w:spacing w:before="40" w:after="40"/>
        <w:jc w:val="center"/>
      </w:pPr>
      <w:r>
        <w:rPr>
          <w:rFonts w:ascii="Times New Roman" w:hAnsi="Times New Roman"/>
          <w:b w:val="0"/>
          <w:i/>
          <w:color w:val="5A5A6E"/>
          <w:sz w:val="20"/>
        </w:rPr>
        <w:t>Department of Computer Science &amp; Engineering | Course: Artificial Intelligence &amp; Expert Systems</w:t>
      </w:r>
    </w:p>
    <w:p>
      <w:pPr>
        <w:spacing w:before="40" w:after="40"/>
        <w:jc w:val="center"/>
      </w:pPr>
      <w:r>
        <w:rPr>
          <w:rFonts w:ascii="Times New Roman" w:hAnsi="Times New Roman"/>
          <w:b/>
          <w:i w:val="0"/>
          <w:color w:val="5A5A6E"/>
          <w:sz w:val="20"/>
        </w:rPr>
        <w:t>Authors:</w:t>
      </w:r>
      <w:r>
        <w:rPr>
          <w:rFonts w:ascii="Times New Roman" w:hAnsi="Times New Roman"/>
          <w:b w:val="0"/>
          <w:i w:val="0"/>
          <w:color w:val="5A5A6E"/>
          <w:sz w:val="20"/>
        </w:rPr>
        <w:t>Khushalzz et al.</w:t>
      </w:r>
    </w:p>
    <w:p>
      <w:pPr>
        <w:spacing w:before="40" w:after="40"/>
        <w:jc w:val="center"/>
      </w:pPr>
      <w:r>
        <w:rPr>
          <w:rFonts w:ascii="Times New Roman" w:hAnsi="Times New Roman"/>
          <w:b/>
          <w:i w:val="0"/>
          <w:color w:val="5A5A6E"/>
          <w:sz w:val="20"/>
        </w:rPr>
        <w:t>Academic Year:</w:t>
      </w:r>
      <w:r>
        <w:rPr>
          <w:rFonts w:ascii="Times New Roman" w:hAnsi="Times New Roman"/>
          <w:b w:val="0"/>
          <w:i w:val="0"/>
          <w:color w:val="5A5A6E"/>
          <w:sz w:val="20"/>
        </w:rPr>
        <w:t>2025–2026 |</w:t>
      </w:r>
      <w:r>
        <w:rPr>
          <w:rFonts w:ascii="Times New Roman" w:hAnsi="Times New Roman"/>
          <w:b/>
          <w:i w:val="0"/>
          <w:color w:val="5A5A6E"/>
          <w:sz w:val="20"/>
        </w:rPr>
        <w:t>Domain:</w:t>
      </w:r>
      <w:r>
        <w:rPr>
          <w:rFonts w:ascii="Times New Roman" w:hAnsi="Times New Roman"/>
          <w:b w:val="0"/>
          <w:i w:val="0"/>
          <w:color w:val="5A5A6E"/>
          <w:sz w:val="20"/>
        </w:rPr>
        <w:t>Deep Learning, Computer Vision &amp; Satellite Remote Sensing</w:t>
      </w:r>
    </w:p>
    <w:p>
      <w:pPr>
        <w:spacing w:before="160" w:after="160"/>
        <w:pBdr>
          <w:bottom w:val="single" w:sz="6" w:space="1" w:color="AAAAAA"/>
        </w:pBdr>
      </w:pPr>
    </w:p>
    <w:p>
      <w:pPr>
        <w:spacing w:before="200" w:after="60"/>
      </w:pPr>
      <w:r>
        <w:rPr>
          <w:rFonts w:ascii="Times New Roman" w:hAnsi="Times New Roman"/>
          <w:b/>
          <w:i/>
          <w:color w:val="19529C"/>
          <w:sz w:val="22"/>
        </w:rPr>
        <w:t>Abstract</w:t>
      </w:r>
    </w:p>
    <w:p>
      <w:pPr>
        <w:spacing w:before="40" w:after="80" w:line="288" w:lineRule="auto"/>
        <w:jc w:val="both"/>
      </w:pPr>
      <w:r>
        <w:rPr>
          <w:rFonts w:ascii="Times New Roman" w:hAnsi="Times New Roman"/>
          <w:b w:val="0"/>
          <w:i w:val="0"/>
          <w:color w:val="14141E"/>
          <w:sz w:val="21"/>
        </w:rPr>
        <w:t>Multispectral satellite imagery from the European Space Agency's Sentinel-2 Multi-Spectral Instrument (MSI) is physically constrained by optical detector geometry, distributing twelve reflective spectral bands across three disparate spatial resolutions (</w:t>
      </w:r>
      <w:r>
        <w:rPr>
          <w:rFonts w:ascii="Cambria Math" w:hAnsi="Cambria Math"/>
          <w:b w:val="0"/>
          <w:i/>
          <w:color w:val="0F2864"/>
          <w:sz w:val="21"/>
        </w:rPr>
        <w:t>10 m</w:t>
      </w:r>
      <w:r>
        <w:rPr>
          <w:rFonts w:ascii="Times New Roman" w:hAnsi="Times New Roman"/>
          <w:b w:val="0"/>
          <w:i w:val="0"/>
          <w:color w:val="14141E"/>
          <w:sz w:val="21"/>
        </w:rPr>
        <w:t>,</w:t>
      </w:r>
      <w:r>
        <w:rPr>
          <w:rFonts w:ascii="Cambria Math" w:hAnsi="Cambria Math"/>
          <w:b w:val="0"/>
          <w:i/>
          <w:color w:val="0F2864"/>
          <w:sz w:val="21"/>
        </w:rPr>
        <w:t>20 m</w:t>
      </w:r>
      <w:r>
        <w:rPr>
          <w:rFonts w:ascii="Times New Roman" w:hAnsi="Times New Roman"/>
          <w:b w:val="0"/>
          <w:i w:val="0"/>
          <w:color w:val="14141E"/>
          <w:sz w:val="21"/>
        </w:rPr>
        <w:t>, and</w:t>
      </w:r>
      <w:r>
        <w:rPr>
          <w:rFonts w:ascii="Cambria Math" w:hAnsi="Cambria Math"/>
          <w:b w:val="0"/>
          <w:i/>
          <w:color w:val="0F2864"/>
          <w:sz w:val="21"/>
        </w:rPr>
        <w:t>60 m</w:t>
      </w:r>
      <w:r>
        <w:rPr>
          <w:rFonts w:ascii="Times New Roman" w:hAnsi="Times New Roman"/>
          <w:b w:val="0"/>
          <w:i w:val="0"/>
          <w:color w:val="14141E"/>
          <w:sz w:val="21"/>
        </w:rPr>
        <w:t>). Conventional single-image super-resolution (SISR) techniques fail to handle this multi-resolution data effectively: Convolutional Neural Networks (CNNs) have small receptive fields, Vision Transformers (ViTs) incur quadratic computational complexity</w:t>
      </w:r>
      <w:r>
        <w:rPr>
          <w:rFonts w:ascii="Cambria Math" w:hAnsi="Cambria Math"/>
          <w:b w:val="0"/>
          <w:i/>
          <w:color w:val="0F2864"/>
          <w:sz w:val="21"/>
        </w:rPr>
        <w:t>O(N²)</w:t>
      </w:r>
      <w:r>
        <w:rPr>
          <w:rFonts w:ascii="Times New Roman" w:hAnsi="Times New Roman"/>
          <w:b w:val="0"/>
          <w:i w:val="0"/>
          <w:color w:val="14141E"/>
          <w:sz w:val="21"/>
        </w:rPr>
        <w:t>causing GPU memory crashes on large satellite tiles, and standard Generative Adversarial Networks (GANs) hallucinate non-existent ground features without predictive confidence bounds.</w:t>
      </w:r>
    </w:p>
    <w:p>
      <w:pPr>
        <w:spacing w:before="40" w:after="80" w:line="288" w:lineRule="auto"/>
        <w:jc w:val="both"/>
      </w:pPr>
      <w:r>
        <w:rPr>
          <w:rFonts w:ascii="Times New Roman" w:hAnsi="Times New Roman"/>
          <w:b w:val="0"/>
          <w:i w:val="0"/>
          <w:color w:val="14141E"/>
          <w:sz w:val="21"/>
        </w:rPr>
        <w:t>In this AIES mini project, we develop</w:t>
      </w:r>
      <w:r>
        <w:rPr>
          <w:rFonts w:ascii="Times New Roman" w:hAnsi="Times New Roman"/>
          <w:b/>
          <w:i w:val="0"/>
          <w:color w:val="14141E"/>
          <w:sz w:val="21"/>
        </w:rPr>
        <w:t>TriSpecWaveMambaUQ</w:t>
      </w:r>
      <w:r>
        <w:rPr>
          <w:rFonts w:ascii="Times New Roman" w:hAnsi="Times New Roman"/>
          <w:b w:val="0"/>
          <w:i w:val="0"/>
          <w:color w:val="14141E"/>
          <w:sz w:val="21"/>
        </w:rPr>
        <w:t>, an end-to-end deep neural architecture (</w:t>
      </w:r>
      <w:r>
        <w:rPr>
          <w:rFonts w:ascii="Cambria Math" w:hAnsi="Cambria Math"/>
          <w:b w:val="0"/>
          <w:i/>
          <w:color w:val="0F2864"/>
          <w:sz w:val="21"/>
        </w:rPr>
        <w:t>6.17 M</w:t>
      </w:r>
      <w:r>
        <w:rPr>
          <w:rFonts w:ascii="Times New Roman" w:hAnsi="Times New Roman"/>
          <w:b w:val="0"/>
          <w:i w:val="0"/>
          <w:color w:val="14141E"/>
          <w:sz w:val="21"/>
        </w:rPr>
        <w:t>total parameters,</w:t>
      </w:r>
      <w:r>
        <w:rPr>
          <w:rFonts w:ascii="Cambria Math" w:hAnsi="Cambria Math"/>
          <w:b w:val="0"/>
          <w:i/>
          <w:color w:val="0F2864"/>
          <w:sz w:val="21"/>
        </w:rPr>
        <w:t>1.12 M</w:t>
      </w:r>
      <w:r>
        <w:rPr>
          <w:rFonts w:ascii="Times New Roman" w:hAnsi="Times New Roman"/>
          <w:b w:val="0"/>
          <w:i w:val="0"/>
          <w:color w:val="14141E"/>
          <w:sz w:val="21"/>
        </w:rPr>
        <w:t>base backbone) for</w:t>
      </w:r>
      <w:r>
        <w:rPr>
          <w:rFonts w:ascii="Cambria Math" w:hAnsi="Cambria Math"/>
          <w:b w:val="0"/>
          <w:i/>
          <w:color w:val="0F2864"/>
          <w:sz w:val="21"/>
        </w:rPr>
        <w:t>4×</w:t>
      </w:r>
      <w:r>
        <w:rPr>
          <w:rFonts w:ascii="Times New Roman" w:hAnsi="Times New Roman"/>
          <w:b w:val="0"/>
          <w:i w:val="0"/>
          <w:color w:val="14141E"/>
          <w:sz w:val="21"/>
        </w:rPr>
        <w:t>multispectral super-resolution (</w:t>
      </w:r>
      <w:r>
        <w:rPr>
          <w:rFonts w:ascii="Cambria Math" w:hAnsi="Cambria Math"/>
          <w:b w:val="0"/>
          <w:i/>
          <w:color w:val="0F2864"/>
          <w:sz w:val="21"/>
        </w:rPr>
        <w:t>10 m → 2.5 m</w:t>
      </w:r>
      <w:r>
        <w:rPr>
          <w:rFonts w:ascii="Times New Roman" w:hAnsi="Times New Roman"/>
          <w:b w:val="0"/>
          <w:i w:val="0"/>
          <w:color w:val="14141E"/>
          <w:sz w:val="21"/>
        </w:rPr>
        <w:t>Ground Sampling Distance) with calibrated pixel-wise uncertainty quantification. Our model ingests all 12 bands via a tri-stream grouped encoder aligned with native sensor resolutions, dynamically captures inter-band correlations via 3-node Spectral Graph Attention and continuous-wavelength 1D State Space Models (SpectralMamba,</w:t>
      </w:r>
      <w:r>
        <w:rPr>
          <w:rFonts w:ascii="Cambria Math" w:hAnsi="Cambria Math"/>
          <w:b w:val="0"/>
          <w:i/>
          <w:color w:val="0F2864"/>
          <w:sz w:val="21"/>
        </w:rPr>
        <w:t>O(C)</w:t>
      </w:r>
      <w:r>
        <w:rPr>
          <w:rFonts w:ascii="Times New Roman" w:hAnsi="Times New Roman"/>
          <w:b w:val="0"/>
          <w:i w:val="0"/>
          <w:color w:val="14141E"/>
          <w:sz w:val="21"/>
        </w:rPr>
        <w:t>), and losslessly decouples spatial features through 2D Haar Discrete Wavelet Transforms. Low-frequency background structures are routed through linear-complexity 2D SpatialMamba blocks (</w:t>
      </w:r>
      <w:r>
        <w:rPr>
          <w:rFonts w:ascii="Cambria Math" w:hAnsi="Cambria Math"/>
          <w:b w:val="0"/>
          <w:i/>
          <w:color w:val="0F2864"/>
          <w:sz w:val="21"/>
        </w:rPr>
        <w:t>O(N)</w:t>
      </w:r>
      <w:r>
        <w:rPr>
          <w:rFonts w:ascii="Times New Roman" w:hAnsi="Times New Roman"/>
          <w:b w:val="0"/>
          <w:i w:val="0"/>
          <w:color w:val="14141E"/>
          <w:sz w:val="21"/>
        </w:rPr>
        <w:t>), while high-frequency details pass through directional Strip Convolution stacks (</w:t>
      </w:r>
      <w:r>
        <w:rPr>
          <w:rFonts w:ascii="Cambria Math" w:hAnsi="Cambria Math"/>
          <w:b w:val="0"/>
          <w:i/>
          <w:color w:val="0F2864"/>
          <w:sz w:val="21"/>
        </w:rPr>
        <w:t>1×7</w:t>
      </w:r>
      <w:r>
        <w:rPr>
          <w:rFonts w:ascii="Times New Roman" w:hAnsi="Times New Roman"/>
          <w:b w:val="0"/>
          <w:i w:val="0"/>
          <w:color w:val="14141E"/>
          <w:sz w:val="21"/>
        </w:rPr>
        <w:t>and</w:t>
      </w:r>
      <w:r>
        <w:rPr>
          <w:rFonts w:ascii="Cambria Math" w:hAnsi="Cambria Math"/>
          <w:b w:val="0"/>
          <w:i/>
          <w:color w:val="0F2864"/>
          <w:sz w:val="21"/>
        </w:rPr>
        <w:t>7×1</w:t>
      </w:r>
      <w:r>
        <w:rPr>
          <w:rFonts w:ascii="Times New Roman" w:hAnsi="Times New Roman"/>
          <w:b w:val="0"/>
          <w:i w:val="0"/>
          <w:color w:val="14141E"/>
          <w:sz w:val="21"/>
        </w:rPr>
        <w:t>). Dual output heads simultaneously reconstruct surface reflectance means (</w:t>
      </w:r>
      <w:r>
        <w:rPr>
          <w:rFonts w:ascii="Cambria Math" w:hAnsi="Cambria Math"/>
          <w:b w:val="0"/>
          <w:i/>
          <w:color w:val="0F2864"/>
          <w:sz w:val="21"/>
        </w:rPr>
        <w:t>μ</w:t>
      </w:r>
      <w:r>
        <w:rPr>
          <w:rFonts w:ascii="Times New Roman" w:hAnsi="Times New Roman"/>
          <w:b w:val="0"/>
          <w:i w:val="0"/>
          <w:color w:val="14141E"/>
          <w:sz w:val="21"/>
        </w:rPr>
        <w:t>) and aleatoric log-variance uncertainty maps (</w:t>
      </w:r>
      <w:r>
        <w:rPr>
          <w:rFonts w:ascii="Cambria Math" w:hAnsi="Cambria Math"/>
          <w:b w:val="0"/>
          <w:i/>
          <w:color w:val="0F2864"/>
          <w:sz w:val="21"/>
        </w:rPr>
        <w:t>log σ²</w:t>
      </w:r>
      <w:r>
        <w:rPr>
          <w:rFonts w:ascii="Times New Roman" w:hAnsi="Times New Roman"/>
          <w:b w:val="0"/>
          <w:i w:val="0"/>
          <w:color w:val="14141E"/>
          <w:sz w:val="21"/>
        </w:rPr>
        <w:t>) under a heteroscedastic Gaussian negative log-likelihood objective regularized by physical sensor Modulation Transfer Function (MTF) degradation constraints.</w:t>
      </w:r>
    </w:p>
    <w:p>
      <w:pPr>
        <w:spacing w:before="40" w:after="80" w:line="288" w:lineRule="auto"/>
        <w:jc w:val="both"/>
      </w:pPr>
      <w:r>
        <w:rPr>
          <w:rFonts w:ascii="Times New Roman" w:hAnsi="Times New Roman"/>
          <w:b w:val="0"/>
          <w:i w:val="0"/>
          <w:color w:val="14141E"/>
          <w:sz w:val="21"/>
        </w:rPr>
        <w:t>Evaluated on unseen geographic test suites against Bicubic interpolation and the OpenSR-SRGAN teacher, our model achieves</w:t>
      </w:r>
      <w:r>
        <w:rPr>
          <w:rFonts w:ascii="Times New Roman" w:hAnsi="Times New Roman"/>
          <w:b/>
          <w:i w:val="0"/>
          <w:color w:val="14141E"/>
          <w:sz w:val="21"/>
        </w:rPr>
        <w:t>[MATH:32.17 dB:MATH] PSNR</w:t>
      </w:r>
      <w:r>
        <w:rPr>
          <w:rFonts w:ascii="Times New Roman" w:hAnsi="Times New Roman"/>
          <w:b w:val="0"/>
          <w:i w:val="0"/>
          <w:color w:val="14141E"/>
          <w:sz w:val="21"/>
        </w:rPr>
        <w:t>(</w:t>
      </w:r>
      <w:r>
        <w:rPr>
          <w:rFonts w:ascii="Cambria Math" w:hAnsi="Cambria Math"/>
          <w:b w:val="0"/>
          <w:i/>
          <w:color w:val="0F2864"/>
          <w:sz w:val="21"/>
        </w:rPr>
        <w:t>+2.13 dB</w:t>
      </w:r>
      <w:r>
        <w:rPr>
          <w:rFonts w:ascii="Times New Roman" w:hAnsi="Times New Roman"/>
          <w:b w:val="0"/>
          <w:i w:val="0"/>
          <w:color w:val="14141E"/>
          <w:sz w:val="21"/>
        </w:rPr>
        <w:t>gain),</w:t>
      </w:r>
      <w:r>
        <w:rPr>
          <w:rFonts w:ascii="Times New Roman" w:hAnsi="Times New Roman"/>
          <w:b/>
          <w:i w:val="0"/>
          <w:color w:val="14141E"/>
          <w:sz w:val="21"/>
        </w:rPr>
        <w:t>[MATH:0.8754:MATH] SSIM</w:t>
      </w:r>
      <w:r>
        <w:rPr>
          <w:rFonts w:ascii="Times New Roman" w:hAnsi="Times New Roman"/>
          <w:b w:val="0"/>
          <w:i w:val="0"/>
          <w:color w:val="14141E"/>
          <w:sz w:val="21"/>
        </w:rPr>
        <w:t>, an</w:t>
      </w:r>
      <w:r>
        <w:rPr>
          <w:rFonts w:ascii="Times New Roman" w:hAnsi="Times New Roman"/>
          <w:b/>
          <w:i w:val="0"/>
          <w:color w:val="14141E"/>
          <w:sz w:val="21"/>
        </w:rPr>
        <w:t>[MATH:18.2\%:MATH] reduction in Spectral Angle Mapper error ([MATH:0.0198 rad:MATH] / [MATH:1.13^°:MATH])</w:t>
      </w:r>
      <w:r>
        <w:rPr>
          <w:rFonts w:ascii="Times New Roman" w:hAnsi="Times New Roman"/>
          <w:b w:val="0"/>
          <w:i w:val="0"/>
          <w:color w:val="14141E"/>
          <w:sz w:val="21"/>
        </w:rPr>
        <w:t>, and a</w:t>
      </w:r>
      <w:r>
        <w:rPr>
          <w:rFonts w:ascii="Times New Roman" w:hAnsi="Times New Roman"/>
          <w:b/>
          <w:i w:val="0"/>
          <w:color w:val="14141E"/>
          <w:sz w:val="21"/>
        </w:rPr>
        <w:t>[MATH:28.7\%:MATH] reduction in NDVI MAE ([MATH:0.0161:MATH])</w:t>
      </w:r>
      <w:r>
        <w:rPr>
          <w:rFonts w:ascii="Times New Roman" w:hAnsi="Times New Roman"/>
          <w:b w:val="0"/>
          <w:i w:val="0"/>
          <w:color w:val="14141E"/>
          <w:sz w:val="21"/>
        </w:rPr>
        <w:t>, with an inference latency of</w:t>
      </w:r>
      <w:r>
        <w:rPr>
          <w:rFonts w:ascii="Times New Roman" w:hAnsi="Times New Roman"/>
          <w:b/>
          <w:i w:val="0"/>
          <w:color w:val="14141E"/>
          <w:sz w:val="21"/>
        </w:rPr>
        <w:t>[MATH:24.96 ms:MATH]</w:t>
      </w:r>
      <w:r>
        <w:rPr>
          <w:rFonts w:ascii="Times New Roman" w:hAnsi="Times New Roman"/>
          <w:b w:val="0"/>
          <w:i w:val="0"/>
          <w:color w:val="14141E"/>
          <w:sz w:val="21"/>
        </w:rPr>
        <w:t>per tile and</w:t>
      </w:r>
      <w:r>
        <w:rPr>
          <w:rFonts w:ascii="Times New Roman" w:hAnsi="Times New Roman"/>
          <w:b/>
          <w:i w:val="0"/>
          <w:color w:val="14141E"/>
          <w:sz w:val="21"/>
        </w:rPr>
        <w:t>[MATH:270 MB:MATH] peak VRAM</w:t>
      </w:r>
      <w:r>
        <w:rPr>
          <w:rFonts w:ascii="Times New Roman" w:hAnsi="Times New Roman"/>
          <w:b w:val="0"/>
          <w:i w:val="0"/>
          <w:color w:val="14141E"/>
          <w:sz w:val="21"/>
        </w:rPr>
        <w:t>. Calibrated uncertainty maps reliably flag ambiguous parcel boundaries and cloud fringes, establishing an operational foundation for reliable Earth observation.</w:t>
      </w:r>
    </w:p>
    <w:p>
      <w:pPr>
        <w:spacing w:before="120" w:after="200"/>
      </w:pPr>
      <w:r>
        <w:rPr>
          <w:rFonts w:ascii="Times New Roman" w:hAnsi="Times New Roman"/>
          <w:b/>
          <w:i w:val="0"/>
          <w:color w:val="14141E"/>
          <w:sz w:val="20"/>
        </w:rPr>
        <w:t>Keywords:</w:t>
      </w:r>
      <w:r>
        <w:rPr>
          <w:rFonts w:ascii="Times New Roman" w:hAnsi="Times New Roman"/>
          <w:b w:val="0"/>
          <w:i w:val="0"/>
          <w:color w:val="14141E"/>
          <w:sz w:val="20"/>
        </w:rPr>
        <w:t>Artificial Intelligence, Sentinel-2 MSI, Multispectral Super-Resolution, State Space Models (SSM), Mamba, Haar Discrete Wavelet Transform, Uncertainty Quantification, Modulation Transfer Function (MTF).</w:t>
      </w:r>
    </w:p>
    <w:p>
      <w:pPr>
        <w:spacing w:before="160" w:after="160"/>
        <w:pBdr>
          <w:bottom w:val="single" w:sz="6" w:space="1" w:color="AAAAAA"/>
        </w:pBdr>
      </w:pPr>
    </w:p>
    <w:p>
      <w:pPr>
        <w:spacing w:before="280" w:after="80"/>
        <w:pBdr>
          <w:bottom w:val="single" w:sz="6" w:space="1" w:color="1B365D"/>
        </w:pBdr>
      </w:pPr>
      <w:r>
        <w:rPr>
          <w:rFonts w:ascii="Times New Roman" w:hAnsi="Times New Roman"/>
          <w:b/>
          <w:i w:val="0"/>
          <w:color w:val="0F2C5F"/>
          <w:sz w:val="23"/>
        </w:rPr>
        <w:t>I. INTRODUCTION</w:t>
      </w:r>
    </w:p>
    <w:p>
      <w:pPr>
        <w:spacing w:before="40" w:after="80" w:line="288" w:lineRule="auto"/>
        <w:jc w:val="both"/>
      </w:pPr>
      <w:r>
        <w:rPr>
          <w:rFonts w:ascii="Times New Roman" w:hAnsi="Times New Roman"/>
          <w:b w:val="0"/>
          <w:i w:val="0"/>
          <w:color w:val="14141E"/>
          <w:sz w:val="21"/>
        </w:rPr>
        <w:t>Satellite Earth observation provides the sensory foundation for climate monitoring, food security forecasting, and disaster mitigation. The Multi-Spectral Instrument (MSI) aboard the European Space Agency's (ESA) Copernicus Sentinel-2 constellation is an operational cornerstone in open-access Earth observation. MSI acquires 12 distinct reflective spectral bands spanning from the visible and near-infrared (VNIR) to the short-wave infrared (SWIR) spectrum.</w:t>
      </w:r>
    </w:p>
    <w:p>
      <w:pPr>
        <w:spacing w:before="40" w:after="80" w:line="288" w:lineRule="auto"/>
        <w:jc w:val="both"/>
      </w:pPr>
      <w:r>
        <w:rPr>
          <w:rFonts w:ascii="Times New Roman" w:hAnsi="Times New Roman"/>
          <w:b w:val="0"/>
          <w:i w:val="0"/>
          <w:color w:val="14141E"/>
          <w:sz w:val="21"/>
        </w:rPr>
        <w:t>However, optical satellite payload design involves fundamental physical trade-offs between orbital swath width, Signal-to-Noise Ratio (SNR), and optical detector dimensions. Consequently, Sentinel-2 distributes its 12 reflective bands across three disparate spatial Ground Sampling Distances (GSD):</w:t>
      </w:r>
    </w:p>
    <w:p>
      <w:pPr>
        <w:spacing w:before="20" w:after="40" w:line="288" w:lineRule="auto"/>
        <w:ind w:left="432" w:hanging="288"/>
      </w:pPr>
      <w:r>
        <w:rPr>
          <w:rFonts w:ascii="Times New Roman" w:hAnsi="Times New Roman"/>
          <w:b/>
          <w:i w:val="0"/>
          <w:color w:val="19529C"/>
          <w:sz w:val="21"/>
        </w:rPr>
        <w:t xml:space="preserve">• </w:t>
      </w:r>
      <w:r>
        <w:rPr>
          <w:rFonts w:ascii="Times New Roman" w:hAnsi="Times New Roman"/>
          <w:b/>
          <w:i w:val="0"/>
          <w:color w:val="14141E"/>
          <w:sz w:val="21"/>
        </w:rPr>
        <w:t>[MATH:10 m:MATH] High-Resolution Bands:</w:t>
      </w:r>
      <w:r>
        <w:rPr>
          <w:rFonts w:ascii="Times New Roman" w:hAnsi="Times New Roman"/>
          <w:b w:val="0"/>
          <w:i w:val="0"/>
          <w:color w:val="14141E"/>
          <w:sz w:val="21"/>
        </w:rPr>
        <w:t>Band 2 (Blue,</w:t>
      </w:r>
      <w:r>
        <w:rPr>
          <w:rFonts w:ascii="Cambria Math" w:hAnsi="Cambria Math"/>
          <w:b w:val="0"/>
          <w:i/>
          <w:color w:val="0F2864"/>
          <w:sz w:val="21"/>
        </w:rPr>
        <w:t>490 nm</w:t>
      </w:r>
      <w:r>
        <w:rPr>
          <w:rFonts w:ascii="Times New Roman" w:hAnsi="Times New Roman"/>
          <w:b w:val="0"/>
          <w:i w:val="0"/>
          <w:color w:val="14141E"/>
          <w:sz w:val="21"/>
        </w:rPr>
        <w:t>), Band 3 (Green,</w:t>
      </w:r>
      <w:r>
        <w:rPr>
          <w:rFonts w:ascii="Cambria Math" w:hAnsi="Cambria Math"/>
          <w:b w:val="0"/>
          <w:i/>
          <w:color w:val="0F2864"/>
          <w:sz w:val="21"/>
        </w:rPr>
        <w:t>560 nm</w:t>
      </w:r>
      <w:r>
        <w:rPr>
          <w:rFonts w:ascii="Times New Roman" w:hAnsi="Times New Roman"/>
          <w:b w:val="0"/>
          <w:i w:val="0"/>
          <w:color w:val="14141E"/>
          <w:sz w:val="21"/>
        </w:rPr>
        <w:t>), Band 4 (Red,</w:t>
      </w:r>
      <w:r>
        <w:rPr>
          <w:rFonts w:ascii="Cambria Math" w:hAnsi="Cambria Math"/>
          <w:b w:val="0"/>
          <w:i/>
          <w:color w:val="0F2864"/>
          <w:sz w:val="21"/>
        </w:rPr>
        <w:t>665 nm</w:t>
      </w:r>
      <w:r>
        <w:rPr>
          <w:rFonts w:ascii="Times New Roman" w:hAnsi="Times New Roman"/>
          <w:b w:val="0"/>
          <w:i w:val="0"/>
          <w:color w:val="14141E"/>
          <w:sz w:val="21"/>
        </w:rPr>
        <w:t>), and Band 8 (Broad NIR,</w:t>
      </w:r>
      <w:r>
        <w:rPr>
          <w:rFonts w:ascii="Cambria Math" w:hAnsi="Cambria Math"/>
          <w:b w:val="0"/>
          <w:i/>
          <w:color w:val="0F2864"/>
          <w:sz w:val="21"/>
        </w:rPr>
        <w:t>842 nm</w:t>
      </w:r>
      <w:r>
        <w:rPr>
          <w:rFonts w:ascii="Times New Roman" w:hAnsi="Times New Roman"/>
          <w:b w:val="0"/>
          <w:i w:val="0"/>
          <w:color w:val="14141E"/>
          <w:sz w:val="21"/>
        </w:rPr>
        <w:t>).</w:t>
      </w:r>
    </w:p>
    <w:p>
      <w:pPr>
        <w:spacing w:before="20" w:after="40" w:line="288" w:lineRule="auto"/>
        <w:ind w:left="432" w:hanging="288"/>
      </w:pPr>
      <w:r>
        <w:rPr>
          <w:rFonts w:ascii="Times New Roman" w:hAnsi="Times New Roman"/>
          <w:b/>
          <w:i w:val="0"/>
          <w:color w:val="19529C"/>
          <w:sz w:val="21"/>
        </w:rPr>
        <w:t xml:space="preserve">• </w:t>
      </w:r>
      <w:r>
        <w:rPr>
          <w:rFonts w:ascii="Times New Roman" w:hAnsi="Times New Roman"/>
          <w:b/>
          <w:i w:val="0"/>
          <w:color w:val="14141E"/>
          <w:sz w:val="21"/>
        </w:rPr>
        <w:t>[MATH:20 m:MATH] Medium-Resolution Bands:</w:t>
      </w:r>
      <w:r>
        <w:rPr>
          <w:rFonts w:ascii="Times New Roman" w:hAnsi="Times New Roman"/>
          <w:b w:val="0"/>
          <w:i w:val="0"/>
          <w:color w:val="14141E"/>
          <w:sz w:val="21"/>
        </w:rPr>
        <w:t>Band 5 (Red Edge 1,</w:t>
      </w:r>
      <w:r>
        <w:rPr>
          <w:rFonts w:ascii="Cambria Math" w:hAnsi="Cambria Math"/>
          <w:b w:val="0"/>
          <w:i/>
          <w:color w:val="0F2864"/>
          <w:sz w:val="21"/>
        </w:rPr>
        <w:t>705 nm</w:t>
      </w:r>
      <w:r>
        <w:rPr>
          <w:rFonts w:ascii="Times New Roman" w:hAnsi="Times New Roman"/>
          <w:b w:val="0"/>
          <w:i w:val="0"/>
          <w:color w:val="14141E"/>
          <w:sz w:val="21"/>
        </w:rPr>
        <w:t>), Band 6 (Red Edge 2,</w:t>
      </w:r>
      <w:r>
        <w:rPr>
          <w:rFonts w:ascii="Cambria Math" w:hAnsi="Cambria Math"/>
          <w:b w:val="0"/>
          <w:i/>
          <w:color w:val="0F2864"/>
          <w:sz w:val="21"/>
        </w:rPr>
        <w:t>740 nm</w:t>
      </w:r>
      <w:r>
        <w:rPr>
          <w:rFonts w:ascii="Times New Roman" w:hAnsi="Times New Roman"/>
          <w:b w:val="0"/>
          <w:i w:val="0"/>
          <w:color w:val="14141E"/>
          <w:sz w:val="21"/>
        </w:rPr>
        <w:t>), Band 7 (Red Edge 3,</w:t>
      </w:r>
      <w:r>
        <w:rPr>
          <w:rFonts w:ascii="Cambria Math" w:hAnsi="Cambria Math"/>
          <w:b w:val="0"/>
          <w:i/>
          <w:color w:val="0F2864"/>
          <w:sz w:val="21"/>
        </w:rPr>
        <w:t>783 nm</w:t>
      </w:r>
      <w:r>
        <w:rPr>
          <w:rFonts w:ascii="Times New Roman" w:hAnsi="Times New Roman"/>
          <w:b w:val="0"/>
          <w:i w:val="0"/>
          <w:color w:val="14141E"/>
          <w:sz w:val="21"/>
        </w:rPr>
        <w:t>), Band 8A (Narrow NIR,</w:t>
      </w:r>
      <w:r>
        <w:rPr>
          <w:rFonts w:ascii="Cambria Math" w:hAnsi="Cambria Math"/>
          <w:b w:val="0"/>
          <w:i/>
          <w:color w:val="0F2864"/>
          <w:sz w:val="21"/>
        </w:rPr>
        <w:t>865 nm</w:t>
      </w:r>
      <w:r>
        <w:rPr>
          <w:rFonts w:ascii="Times New Roman" w:hAnsi="Times New Roman"/>
          <w:b w:val="0"/>
          <w:i w:val="0"/>
          <w:color w:val="14141E"/>
          <w:sz w:val="21"/>
        </w:rPr>
        <w:t>), Band 11 (SWIR-1,</w:t>
      </w:r>
      <w:r>
        <w:rPr>
          <w:rFonts w:ascii="Cambria Math" w:hAnsi="Cambria Math"/>
          <w:b w:val="0"/>
          <w:i/>
          <w:color w:val="0F2864"/>
          <w:sz w:val="21"/>
        </w:rPr>
        <w:t>1610 nm</w:t>
      </w:r>
      <w:r>
        <w:rPr>
          <w:rFonts w:ascii="Times New Roman" w:hAnsi="Times New Roman"/>
          <w:b w:val="0"/>
          <w:i w:val="0"/>
          <w:color w:val="14141E"/>
          <w:sz w:val="21"/>
        </w:rPr>
        <w:t>), and Band 12 (SWIR-2,</w:t>
      </w:r>
      <w:r>
        <w:rPr>
          <w:rFonts w:ascii="Cambria Math" w:hAnsi="Cambria Math"/>
          <w:b w:val="0"/>
          <w:i/>
          <w:color w:val="0F2864"/>
          <w:sz w:val="21"/>
        </w:rPr>
        <w:t>2190 nm</w:t>
      </w:r>
      <w:r>
        <w:rPr>
          <w:rFonts w:ascii="Times New Roman" w:hAnsi="Times New Roman"/>
          <w:b w:val="0"/>
          <w:i w:val="0"/>
          <w:color w:val="14141E"/>
          <w:sz w:val="21"/>
        </w:rPr>
        <w:t>).</w:t>
      </w:r>
    </w:p>
    <w:p>
      <w:pPr>
        <w:spacing w:before="20" w:after="40" w:line="288" w:lineRule="auto"/>
        <w:ind w:left="432" w:hanging="288"/>
      </w:pPr>
      <w:r>
        <w:rPr>
          <w:rFonts w:ascii="Times New Roman" w:hAnsi="Times New Roman"/>
          <w:b/>
          <w:i w:val="0"/>
          <w:color w:val="19529C"/>
          <w:sz w:val="21"/>
        </w:rPr>
        <w:t xml:space="preserve">• </w:t>
      </w:r>
      <w:r>
        <w:rPr>
          <w:rFonts w:ascii="Times New Roman" w:hAnsi="Times New Roman"/>
          <w:b/>
          <w:i w:val="0"/>
          <w:color w:val="14141E"/>
          <w:sz w:val="21"/>
        </w:rPr>
        <w:t>[MATH:60 m:MATH] Coarse Atmospheric Bands:</w:t>
      </w:r>
      <w:r>
        <w:rPr>
          <w:rFonts w:ascii="Times New Roman" w:hAnsi="Times New Roman"/>
          <w:b w:val="0"/>
          <w:i w:val="0"/>
          <w:color w:val="14141E"/>
          <w:sz w:val="21"/>
        </w:rPr>
        <w:t>Band 1 (Coastal Aerosol,</w:t>
      </w:r>
      <w:r>
        <w:rPr>
          <w:rFonts w:ascii="Cambria Math" w:hAnsi="Cambria Math"/>
          <w:b w:val="0"/>
          <w:i/>
          <w:color w:val="0F2864"/>
          <w:sz w:val="21"/>
        </w:rPr>
        <w:t>443 nm</w:t>
      </w:r>
      <w:r>
        <w:rPr>
          <w:rFonts w:ascii="Times New Roman" w:hAnsi="Times New Roman"/>
          <w:b w:val="0"/>
          <w:i w:val="0"/>
          <w:color w:val="14141E"/>
          <w:sz w:val="21"/>
        </w:rPr>
        <w:t>) and Band 9 (Water Vapor,</w:t>
      </w:r>
      <w:r>
        <w:rPr>
          <w:rFonts w:ascii="Cambria Math" w:hAnsi="Cambria Math"/>
          <w:b w:val="0"/>
          <w:i/>
          <w:color w:val="0F2864"/>
          <w:sz w:val="21"/>
        </w:rPr>
        <w:t>945 nm</w:t>
      </w:r>
      <w:r>
        <w:rPr>
          <w:rFonts w:ascii="Times New Roman" w:hAnsi="Times New Roman"/>
          <w:b w:val="0"/>
          <w:i w:val="0"/>
          <w:color w:val="14141E"/>
          <w:sz w:val="21"/>
        </w:rPr>
        <w:t>).</w:t>
      </w:r>
    </w:p>
    <w:p>
      <w:pPr>
        <w:spacing w:before="40" w:after="80" w:line="288" w:lineRule="auto"/>
        <w:jc w:val="both"/>
      </w:pPr>
      <w:r>
        <w:rPr>
          <w:rFonts w:ascii="Times New Roman" w:hAnsi="Times New Roman"/>
          <w:b w:val="0"/>
          <w:i w:val="0"/>
          <w:color w:val="14141E"/>
          <w:sz w:val="21"/>
        </w:rPr>
        <w:t>Super-resolving all twelve bands to a uniform sub-</w:t>
      </w:r>
      <w:r>
        <w:rPr>
          <w:rFonts w:ascii="Cambria Math" w:hAnsi="Cambria Math"/>
          <w:b w:val="0"/>
          <w:i/>
          <w:color w:val="0F2864"/>
          <w:sz w:val="21"/>
        </w:rPr>
        <w:t>10 m</w:t>
      </w:r>
      <w:r>
        <w:rPr>
          <w:rFonts w:ascii="Times New Roman" w:hAnsi="Times New Roman"/>
          <w:b w:val="0"/>
          <w:i w:val="0"/>
          <w:color w:val="14141E"/>
          <w:sz w:val="21"/>
        </w:rPr>
        <w:t>resolution (specifically, a</w:t>
      </w:r>
      <w:r>
        <w:rPr>
          <w:rFonts w:ascii="Cambria Math" w:hAnsi="Cambria Math"/>
          <w:b w:val="0"/>
          <w:i/>
          <w:color w:val="0F2864"/>
          <w:sz w:val="21"/>
        </w:rPr>
        <w:t>4×</w:t>
      </w:r>
      <w:r>
        <w:rPr>
          <w:rFonts w:ascii="Times New Roman" w:hAnsi="Times New Roman"/>
          <w:b w:val="0"/>
          <w:i w:val="0"/>
          <w:color w:val="14141E"/>
          <w:sz w:val="21"/>
        </w:rPr>
        <w:t>upscaling to</w:t>
      </w:r>
      <w:r>
        <w:rPr>
          <w:rFonts w:ascii="Cambria Math" w:hAnsi="Cambria Math"/>
          <w:b w:val="0"/>
          <w:i/>
          <w:color w:val="0F2864"/>
          <w:sz w:val="21"/>
        </w:rPr>
        <w:t>2.5 m</w:t>
      </w:r>
      <w:r>
        <w:rPr>
          <w:rFonts w:ascii="Times New Roman" w:hAnsi="Times New Roman"/>
          <w:b w:val="0"/>
          <w:i w:val="0"/>
          <w:color w:val="14141E"/>
          <w:sz w:val="21"/>
        </w:rPr>
        <w:t>GSD) is essential for precision agriculture, wildfire burn-scar severity mapping, urban infrastructure monitoring, and environmental hazard tracking. Despite substantial progress in Single-Image Super-Resolution (SISR), four fundamental engineering bottlenecks persist:</w:t>
      </w:r>
    </w:p>
    <w:p>
      <w:pPr>
        <w:spacing w:before="40" w:after="60" w:line="288" w:lineRule="auto"/>
        <w:ind w:left="504" w:hanging="360"/>
      </w:pPr>
      <w:r>
        <w:rPr>
          <w:rFonts w:ascii="Times New Roman" w:hAnsi="Times New Roman"/>
          <w:b/>
          <w:i w:val="0"/>
          <w:color w:val="0F2C5F"/>
          <w:sz w:val="21"/>
        </w:rPr>
        <w:t xml:space="preserve">1. </w:t>
      </w:r>
      <w:r>
        <w:rPr>
          <w:rFonts w:ascii="Times New Roman" w:hAnsi="Times New Roman"/>
          <w:b/>
          <w:i w:val="0"/>
          <w:color w:val="14141E"/>
          <w:sz w:val="21"/>
        </w:rPr>
        <w:t>Native Sensor Resolution Heterogeneity:</w:t>
      </w:r>
      <w:r>
        <w:rPr>
          <w:rFonts w:ascii="Times New Roman" w:hAnsi="Times New Roman"/>
          <w:b w:val="0"/>
          <w:i w:val="0"/>
          <w:color w:val="14141E"/>
          <w:sz w:val="21"/>
        </w:rPr>
        <w:t>Standard SISR models assume uniform 3-channel RGB inputs. Applying them to Sentinel-2 typically requires naively upsampling coarse</w:t>
      </w:r>
      <w:r>
        <w:rPr>
          <w:rFonts w:ascii="Cambria Math" w:hAnsi="Cambria Math"/>
          <w:b w:val="0"/>
          <w:i/>
          <w:color w:val="0F2864"/>
          <w:sz w:val="21"/>
        </w:rPr>
        <w:t>20 m</w:t>
      </w:r>
      <w:r>
        <w:rPr>
          <w:rFonts w:ascii="Times New Roman" w:hAnsi="Times New Roman"/>
          <w:b w:val="0"/>
          <w:i w:val="0"/>
          <w:color w:val="14141E"/>
          <w:sz w:val="21"/>
        </w:rPr>
        <w:t>and</w:t>
      </w:r>
      <w:r>
        <w:rPr>
          <w:rFonts w:ascii="Cambria Math" w:hAnsi="Cambria Math"/>
          <w:b w:val="0"/>
          <w:i/>
          <w:color w:val="0F2864"/>
          <w:sz w:val="21"/>
        </w:rPr>
        <w:t>60 m</w:t>
      </w:r>
      <w:r>
        <w:rPr>
          <w:rFonts w:ascii="Times New Roman" w:hAnsi="Times New Roman"/>
          <w:b w:val="0"/>
          <w:i w:val="0"/>
          <w:color w:val="14141E"/>
          <w:sz w:val="21"/>
        </w:rPr>
        <w:t>bands prior to feature extraction, smearing subtle spectral signatures and distorting downstream vegetation and moisture indices.</w:t>
      </w:r>
    </w:p>
    <w:p>
      <w:pPr>
        <w:spacing w:before="40" w:after="60" w:line="288" w:lineRule="auto"/>
        <w:ind w:left="504" w:hanging="360"/>
      </w:pPr>
      <w:r>
        <w:rPr>
          <w:rFonts w:ascii="Times New Roman" w:hAnsi="Times New Roman"/>
          <w:b/>
          <w:i w:val="0"/>
          <w:color w:val="0F2C5F"/>
          <w:sz w:val="21"/>
        </w:rPr>
        <w:t xml:space="preserve">2. </w:t>
      </w:r>
      <w:r>
        <w:rPr>
          <w:rFonts w:ascii="Times New Roman" w:hAnsi="Times New Roman"/>
          <w:b/>
          <w:i w:val="0"/>
          <w:color w:val="14141E"/>
          <w:sz w:val="21"/>
        </w:rPr>
        <w:t>The Receptive Field vs. Complexity Dilemma:</w:t>
      </w:r>
      <w:r>
        <w:rPr>
          <w:rFonts w:ascii="Times New Roman" w:hAnsi="Times New Roman"/>
          <w:b w:val="0"/>
          <w:i w:val="0"/>
          <w:color w:val="14141E"/>
          <w:sz w:val="21"/>
        </w:rPr>
        <w:t>Convolutional Neural Networks (CNNs) rely on small localized filters that miss large-scale geographical context. Conversely, Vision Transformers (ViTs) compute all-to-all attention with quadratic complexity</w:t>
      </w:r>
      <w:r>
        <w:rPr>
          <w:rFonts w:ascii="Cambria Math" w:hAnsi="Cambria Math"/>
          <w:b w:val="0"/>
          <w:i/>
          <w:color w:val="0F2864"/>
          <w:sz w:val="21"/>
        </w:rPr>
        <w:t>O(N²)</w:t>
      </w:r>
      <w:r>
        <w:rPr>
          <w:rFonts w:ascii="Times New Roman" w:hAnsi="Times New Roman"/>
          <w:b w:val="0"/>
          <w:i w:val="0"/>
          <w:color w:val="14141E"/>
          <w:sz w:val="21"/>
        </w:rPr>
        <w:t>relative to pixel count. On large satellite orthomosaics with millions of pixels, ViTs suffer GPU Out-Of-Memory (OOM) crashes and introduce blocky window tiling artifacts.</w:t>
      </w:r>
    </w:p>
    <w:p>
      <w:pPr>
        <w:spacing w:before="40" w:after="60" w:line="288" w:lineRule="auto"/>
        <w:ind w:left="504" w:hanging="360"/>
      </w:pPr>
      <w:r>
        <w:rPr>
          <w:rFonts w:ascii="Times New Roman" w:hAnsi="Times New Roman"/>
          <w:b/>
          <w:i w:val="0"/>
          <w:color w:val="0F2C5F"/>
          <w:sz w:val="21"/>
        </w:rPr>
        <w:t xml:space="preserve">3. </w:t>
      </w:r>
      <w:r>
        <w:rPr>
          <w:rFonts w:ascii="Times New Roman" w:hAnsi="Times New Roman"/>
          <w:b/>
          <w:i w:val="0"/>
          <w:color w:val="14141E"/>
          <w:sz w:val="21"/>
        </w:rPr>
        <w:t>The Hallucination vs. Blur Trade-Off:</w:t>
      </w:r>
      <w:r>
        <w:rPr>
          <w:rFonts w:ascii="Times New Roman" w:hAnsi="Times New Roman"/>
          <w:b w:val="0"/>
          <w:i w:val="0"/>
          <w:color w:val="14141E"/>
          <w:sz w:val="21"/>
        </w:rPr>
        <w:t>Optimizing models under standard pixel regression (</w:t>
      </w:r>
      <w:r>
        <w:rPr>
          <w:rFonts w:ascii="Cambria Math" w:hAnsi="Cambria Math"/>
          <w:b w:val="0"/>
          <w:i/>
          <w:color w:val="0F2864"/>
          <w:sz w:val="21"/>
        </w:rPr>
        <w:t>L_1</w:t>
      </w:r>
      <w:r>
        <w:rPr>
          <w:rFonts w:ascii="Times New Roman" w:hAnsi="Times New Roman"/>
          <w:b w:val="0"/>
          <w:i w:val="0"/>
          <w:color w:val="14141E"/>
          <w:sz w:val="21"/>
        </w:rPr>
        <w:t>or</w:t>
      </w:r>
      <w:r>
        <w:rPr>
          <w:rFonts w:ascii="Cambria Math" w:hAnsi="Cambria Math"/>
          <w:b w:val="0"/>
          <w:i/>
          <w:color w:val="0F2864"/>
          <w:sz w:val="21"/>
        </w:rPr>
        <w:t>L_2</w:t>
      </w:r>
      <w:r>
        <w:rPr>
          <w:rFonts w:ascii="Times New Roman" w:hAnsi="Times New Roman"/>
          <w:b w:val="0"/>
          <w:i w:val="0"/>
          <w:color w:val="14141E"/>
          <w:sz w:val="21"/>
        </w:rPr>
        <w:t>) produces overly smooth, blurry outputs by predicting the conditional mean</w:t>
      </w:r>
      <w:r>
        <w:rPr>
          <w:rFonts w:ascii="Cambria Math" w:hAnsi="Cambria Math"/>
          <w:b w:val="0"/>
          <w:i/>
          <w:color w:val="0F2864"/>
          <w:sz w:val="21"/>
        </w:rPr>
        <w:t>E[y | x]</w:t>
      </w:r>
      <w:r>
        <w:rPr>
          <w:rFonts w:ascii="Times New Roman" w:hAnsi="Times New Roman"/>
          <w:b w:val="0"/>
          <w:i w:val="0"/>
          <w:color w:val="14141E"/>
          <w:sz w:val="21"/>
        </w:rPr>
        <w:t>. Unconstrained Generative Adversarial Networks (GANs) synthesize sharp high frequencies, but frequently hallucinate non-existent physical features (e.g., drawing fake roads or buildings) that corrupt scientific analysis.</w:t>
      </w:r>
    </w:p>
    <w:p>
      <w:pPr>
        <w:spacing w:before="40" w:after="60" w:line="288" w:lineRule="auto"/>
        <w:ind w:left="504" w:hanging="360"/>
      </w:pPr>
      <w:r>
        <w:rPr>
          <w:rFonts w:ascii="Times New Roman" w:hAnsi="Times New Roman"/>
          <w:b/>
          <w:i w:val="0"/>
          <w:color w:val="0F2C5F"/>
          <w:sz w:val="21"/>
        </w:rPr>
        <w:t xml:space="preserve">4. </w:t>
      </w:r>
      <w:r>
        <w:rPr>
          <w:rFonts w:ascii="Times New Roman" w:hAnsi="Times New Roman"/>
          <w:b/>
          <w:i w:val="0"/>
          <w:color w:val="14141E"/>
          <w:sz w:val="21"/>
        </w:rPr>
        <w:t>The Operational Reliability Void:</w:t>
      </w:r>
      <w:r>
        <w:rPr>
          <w:rFonts w:ascii="Times New Roman" w:hAnsi="Times New Roman"/>
          <w:b w:val="0"/>
          <w:i w:val="0"/>
          <w:color w:val="14141E"/>
          <w:sz w:val="21"/>
        </w:rPr>
        <w:t>Automated downstream pipelines (e.g. crop insurance auditing) require calibrated confidence bounds. Current super-resolution models operate as deterministic black boxes with zero awareness of their own predictive uncertainty in complex terrain, cloud edges, or shadows.</w:t>
      </w:r>
    </w:p>
    <w:p>
      <w:pPr>
        <w:spacing w:before="200" w:after="60"/>
      </w:pPr>
      <w:r>
        <w:rPr>
          <w:rFonts w:ascii="Times New Roman" w:hAnsi="Times New Roman"/>
          <w:b/>
          <w:i/>
          <w:color w:val="19529C"/>
          <w:sz w:val="22"/>
        </w:rPr>
        <w:t>Core Contributions</w:t>
      </w:r>
    </w:p>
    <w:p>
      <w:pPr>
        <w:spacing w:before="40" w:after="80" w:line="288" w:lineRule="auto"/>
        <w:jc w:val="both"/>
      </w:pPr>
      <w:r>
        <w:rPr>
          <w:rFonts w:ascii="Times New Roman" w:hAnsi="Times New Roman"/>
          <w:b w:val="0"/>
          <w:i w:val="0"/>
          <w:color w:val="14141E"/>
          <w:sz w:val="21"/>
        </w:rPr>
        <w:t>To resolve these bottlenecks, this AIES mini project introduces</w:t>
      </w:r>
      <w:r>
        <w:rPr>
          <w:rFonts w:ascii="Times New Roman" w:hAnsi="Times New Roman"/>
          <w:b/>
          <w:i w:val="0"/>
          <w:color w:val="14141E"/>
          <w:sz w:val="21"/>
        </w:rPr>
        <w:t>TriSpecWaveMambaUQ</w:t>
      </w:r>
      <w:r>
        <w:rPr>
          <w:rFonts w:ascii="Times New Roman" w:hAnsi="Times New Roman"/>
          <w:b w:val="0"/>
          <w:i w:val="0"/>
          <w:color w:val="14141E"/>
          <w:sz w:val="21"/>
        </w:rPr>
        <w:t>, an end-to-end physics-informed framework for</w:t>
      </w:r>
      <w:r>
        <w:rPr>
          <w:rFonts w:ascii="Cambria Math" w:hAnsi="Cambria Math"/>
          <w:b w:val="0"/>
          <w:i/>
          <w:color w:val="0F2864"/>
          <w:sz w:val="21"/>
        </w:rPr>
        <w:t>4×</w:t>
      </w:r>
      <w:r>
        <w:rPr>
          <w:rFonts w:ascii="Times New Roman" w:hAnsi="Times New Roman"/>
          <w:b w:val="0"/>
          <w:i w:val="0"/>
          <w:color w:val="14141E"/>
          <w:sz w:val="21"/>
        </w:rPr>
        <w:t>multispectral super-resolution (</w:t>
      </w:r>
      <w:r>
        <w:rPr>
          <w:rFonts w:ascii="Cambria Math" w:hAnsi="Cambria Math"/>
          <w:b w:val="0"/>
          <w:i/>
          <w:color w:val="0F2864"/>
          <w:sz w:val="21"/>
        </w:rPr>
        <w:t>10 m → 2.5 m</w:t>
      </w:r>
      <w:r>
        <w:rPr>
          <w:rFonts w:ascii="Times New Roman" w:hAnsi="Times New Roman"/>
          <w:b w:val="0"/>
          <w:i w:val="0"/>
          <w:color w:val="14141E"/>
          <w:sz w:val="21"/>
        </w:rPr>
        <w:t>GSD) across all 12 Sentinel-2 MSI bands:</w:t>
      </w:r>
    </w:p>
    <w:p>
      <w:pPr>
        <w:spacing w:before="20" w:after="40" w:line="288" w:lineRule="auto"/>
        <w:ind w:left="432" w:hanging="288"/>
      </w:pPr>
      <w:r>
        <w:rPr>
          <w:rFonts w:ascii="Times New Roman" w:hAnsi="Times New Roman"/>
          <w:b/>
          <w:i w:val="0"/>
          <w:color w:val="19529C"/>
          <w:sz w:val="21"/>
        </w:rPr>
        <w:t xml:space="preserve">• </w:t>
      </w:r>
      <w:r>
        <w:rPr>
          <w:rFonts w:ascii="Times New Roman" w:hAnsi="Times New Roman"/>
          <w:b/>
          <w:i w:val="0"/>
          <w:color w:val="14141E"/>
          <w:sz w:val="21"/>
        </w:rPr>
        <w:t>Tri-Stream Grouped Encoder:</w:t>
      </w:r>
      <w:r>
        <w:rPr>
          <w:rFonts w:ascii="Times New Roman" w:hAnsi="Times New Roman"/>
          <w:b w:val="0"/>
          <w:i w:val="0"/>
          <w:color w:val="14141E"/>
          <w:sz w:val="21"/>
        </w:rPr>
        <w:t>Ingests bands at their native physical resolutions (</w:t>
      </w:r>
      <w:r>
        <w:rPr>
          <w:rFonts w:ascii="Cambria Math" w:hAnsi="Cambria Math"/>
          <w:b w:val="0"/>
          <w:i/>
          <w:color w:val="0F2864"/>
          <w:sz w:val="21"/>
        </w:rPr>
        <w:t>10 m, 20 m, 60 m</w:t>
      </w:r>
      <w:r>
        <w:rPr>
          <w:rFonts w:ascii="Times New Roman" w:hAnsi="Times New Roman"/>
          <w:b w:val="0"/>
          <w:i w:val="0"/>
          <w:color w:val="14141E"/>
          <w:sz w:val="21"/>
        </w:rPr>
        <w:t>) and fuses them via a learned Gated Bilinear Upsampler, avoiding destructive pre-interpolation.</w:t>
      </w:r>
    </w:p>
    <w:p>
      <w:pPr>
        <w:spacing w:before="20" w:after="40" w:line="288" w:lineRule="auto"/>
        <w:ind w:left="432" w:hanging="288"/>
      </w:pPr>
      <w:r>
        <w:rPr>
          <w:rFonts w:ascii="Times New Roman" w:hAnsi="Times New Roman"/>
          <w:b/>
          <w:i w:val="0"/>
          <w:color w:val="19529C"/>
          <w:sz w:val="21"/>
        </w:rPr>
        <w:t xml:space="preserve">• </w:t>
      </w:r>
      <w:r>
        <w:rPr>
          <w:rFonts w:ascii="Times New Roman" w:hAnsi="Times New Roman"/>
          <w:b/>
          <w:i w:val="0"/>
          <w:color w:val="14141E"/>
          <w:sz w:val="21"/>
        </w:rPr>
        <w:t>Continuous-Wavelength State Space Modeling:</w:t>
      </w:r>
      <w:r>
        <w:rPr>
          <w:rFonts w:ascii="Times New Roman" w:hAnsi="Times New Roman"/>
          <w:b w:val="0"/>
          <w:i w:val="0"/>
          <w:color w:val="14141E"/>
          <w:sz w:val="21"/>
        </w:rPr>
        <w:t>Pairs a 3-node Spectral Graph Attention network with 1D</w:t>
      </w:r>
      <w:r>
        <w:rPr>
          <w:rFonts w:ascii="Consolas" w:hAnsi="Consolas"/>
          <w:b w:val="0"/>
          <w:i w:val="0"/>
          <w:color w:val="6432A0"/>
          <w:sz w:val="20"/>
        </w:rPr>
        <w:t>SpectralMamba</w:t>
      </w:r>
      <w:r>
        <w:rPr>
          <w:rFonts w:ascii="Times New Roman" w:hAnsi="Times New Roman"/>
          <w:b w:val="0"/>
          <w:i w:val="0"/>
          <w:color w:val="14141E"/>
          <w:sz w:val="21"/>
        </w:rPr>
        <w:t>state-space blocks conditioned on central physical wavelengths</w:t>
      </w:r>
      <w:r>
        <w:rPr>
          <w:rFonts w:ascii="Cambria Math" w:hAnsi="Cambria Math"/>
          <w:b w:val="0"/>
          <w:i/>
          <w:color w:val="0F2864"/>
          <w:sz w:val="21"/>
        </w:rPr>
        <w:t>λ_b ∈ [443, 2190] nm</w:t>
      </w:r>
      <w:r>
        <w:rPr>
          <w:rFonts w:ascii="Times New Roman" w:hAnsi="Times New Roman"/>
          <w:b w:val="0"/>
          <w:i w:val="0"/>
          <w:color w:val="14141E"/>
          <w:sz w:val="21"/>
        </w:rPr>
        <w:t>, achieving global cross-band context in linear</w:t>
      </w:r>
      <w:r>
        <w:rPr>
          <w:rFonts w:ascii="Cambria Math" w:hAnsi="Cambria Math"/>
          <w:b w:val="0"/>
          <w:i/>
          <w:color w:val="0F2864"/>
          <w:sz w:val="21"/>
        </w:rPr>
        <w:t>O(C)</w:t>
      </w:r>
      <w:r>
        <w:rPr>
          <w:rFonts w:ascii="Times New Roman" w:hAnsi="Times New Roman"/>
          <w:b w:val="0"/>
          <w:i w:val="0"/>
          <w:color w:val="14141E"/>
          <w:sz w:val="21"/>
        </w:rPr>
        <w:t>complexity.</w:t>
      </w:r>
    </w:p>
    <w:p>
      <w:pPr>
        <w:spacing w:before="20" w:after="40" w:line="288" w:lineRule="auto"/>
        <w:ind w:left="432" w:hanging="288"/>
      </w:pPr>
      <w:r>
        <w:rPr>
          <w:rFonts w:ascii="Times New Roman" w:hAnsi="Times New Roman"/>
          <w:b/>
          <w:i w:val="0"/>
          <w:color w:val="19529C"/>
          <w:sz w:val="21"/>
        </w:rPr>
        <w:t xml:space="preserve">• </w:t>
      </w:r>
      <w:r>
        <w:rPr>
          <w:rFonts w:ascii="Times New Roman" w:hAnsi="Times New Roman"/>
          <w:b/>
          <w:i w:val="0"/>
          <w:color w:val="14141E"/>
          <w:sz w:val="21"/>
        </w:rPr>
        <w:t>Frequency-Decoupled Spatial Processing:</w:t>
      </w:r>
      <w:r>
        <w:rPr>
          <w:rFonts w:ascii="Times New Roman" w:hAnsi="Times New Roman"/>
          <w:b w:val="0"/>
          <w:i w:val="0"/>
          <w:color w:val="14141E"/>
          <w:sz w:val="21"/>
        </w:rPr>
        <w:t>Leverages a 2D Haar Discrete Wavelet Transform (</w:t>
      </w:r>
      <w:r>
        <w:rPr>
          <w:rFonts w:ascii="Consolas" w:hAnsi="Consolas"/>
          <w:b w:val="0"/>
          <w:i w:val="0"/>
          <w:color w:val="6432A0"/>
          <w:sz w:val="20"/>
        </w:rPr>
        <w:t>HaarDWT2D</w:t>
      </w:r>
      <w:r>
        <w:rPr>
          <w:rFonts w:ascii="Times New Roman" w:hAnsi="Times New Roman"/>
          <w:b w:val="0"/>
          <w:i w:val="0"/>
          <w:color w:val="14141E"/>
          <w:sz w:val="21"/>
        </w:rPr>
        <w:t>) to route low-frequency background features through a linear-complexity 2D</w:t>
      </w:r>
      <w:r>
        <w:rPr>
          <w:rFonts w:ascii="Consolas" w:hAnsi="Consolas"/>
          <w:b w:val="0"/>
          <w:i w:val="0"/>
          <w:color w:val="6432A0"/>
          <w:sz w:val="20"/>
        </w:rPr>
        <w:t>SpatialMamba</w:t>
      </w:r>
      <w:r>
        <w:rPr>
          <w:rFonts w:ascii="Times New Roman" w:hAnsi="Times New Roman"/>
          <w:b w:val="0"/>
          <w:i w:val="0"/>
          <w:color w:val="14141E"/>
          <w:sz w:val="21"/>
        </w:rPr>
        <w:t>(</w:t>
      </w:r>
      <w:r>
        <w:rPr>
          <w:rFonts w:ascii="Cambria Math" w:hAnsi="Cambria Math"/>
          <w:b w:val="0"/>
          <w:i/>
          <w:color w:val="0F2864"/>
          <w:sz w:val="21"/>
        </w:rPr>
        <w:t>O(N)</w:t>
      </w:r>
      <w:r>
        <w:rPr>
          <w:rFonts w:ascii="Times New Roman" w:hAnsi="Times New Roman"/>
          <w:b w:val="0"/>
          <w:i w:val="0"/>
          <w:color w:val="14141E"/>
          <w:sz w:val="21"/>
        </w:rPr>
        <w:t>) and high-frequency edge details through directional</w:t>
      </w:r>
      <w:r>
        <w:rPr>
          <w:rFonts w:ascii="Consolas" w:hAnsi="Consolas"/>
          <w:b w:val="0"/>
          <w:i w:val="0"/>
          <w:color w:val="6432A0"/>
          <w:sz w:val="20"/>
        </w:rPr>
        <w:t>StripConv</w:t>
      </w:r>
      <w:r>
        <w:rPr>
          <w:rFonts w:ascii="Times New Roman" w:hAnsi="Times New Roman"/>
          <w:b w:val="0"/>
          <w:i w:val="0"/>
          <w:color w:val="14141E"/>
          <w:sz w:val="21"/>
        </w:rPr>
        <w:t>stacks (</w:t>
      </w:r>
      <w:r>
        <w:rPr>
          <w:rFonts w:ascii="Cambria Math" w:hAnsi="Cambria Math"/>
          <w:b w:val="0"/>
          <w:i/>
          <w:color w:val="0F2864"/>
          <w:sz w:val="21"/>
        </w:rPr>
        <w:t>1×7</w:t>
      </w:r>
      <w:r>
        <w:rPr>
          <w:rFonts w:ascii="Times New Roman" w:hAnsi="Times New Roman"/>
          <w:b w:val="0"/>
          <w:i w:val="0"/>
          <w:color w:val="14141E"/>
          <w:sz w:val="21"/>
        </w:rPr>
        <w:t>and</w:t>
      </w:r>
      <w:r>
        <w:rPr>
          <w:rFonts w:ascii="Cambria Math" w:hAnsi="Cambria Math"/>
          <w:b w:val="0"/>
          <w:i/>
          <w:color w:val="0F2864"/>
          <w:sz w:val="21"/>
        </w:rPr>
        <w:t>7×1</w:t>
      </w:r>
      <w:r>
        <w:rPr>
          <w:rFonts w:ascii="Times New Roman" w:hAnsi="Times New Roman"/>
          <w:b w:val="0"/>
          <w:i w:val="0"/>
          <w:color w:val="14141E"/>
          <w:sz w:val="21"/>
        </w:rPr>
        <w:t>).</w:t>
      </w:r>
    </w:p>
    <w:p>
      <w:pPr>
        <w:spacing w:before="20" w:after="40" w:line="288" w:lineRule="auto"/>
        <w:ind w:left="432" w:hanging="288"/>
      </w:pPr>
      <w:r>
        <w:rPr>
          <w:rFonts w:ascii="Times New Roman" w:hAnsi="Times New Roman"/>
          <w:b/>
          <w:i w:val="0"/>
          <w:color w:val="19529C"/>
          <w:sz w:val="21"/>
        </w:rPr>
        <w:t xml:space="preserve">• </w:t>
      </w:r>
      <w:r>
        <w:rPr>
          <w:rFonts w:ascii="Times New Roman" w:hAnsi="Times New Roman"/>
          <w:b/>
          <w:i w:val="0"/>
          <w:color w:val="14141E"/>
          <w:sz w:val="21"/>
        </w:rPr>
        <w:t>Physics-Informed Sensor MTF Loss:</w:t>
      </w:r>
      <w:r>
        <w:rPr>
          <w:rFonts w:ascii="Times New Roman" w:hAnsi="Times New Roman"/>
          <w:b w:val="0"/>
          <w:i w:val="0"/>
          <w:color w:val="14141E"/>
          <w:sz w:val="21"/>
        </w:rPr>
        <w:t>Enforces a closed-loop optical Point Spread Function / Modulation Transfer Function (MTF) degradation constraint, mathematically guaranteeing that downscaling our output recreates the original raw satellite observation.</w:t>
      </w:r>
    </w:p>
    <w:p>
      <w:pPr>
        <w:spacing w:before="20" w:after="40" w:line="288" w:lineRule="auto"/>
        <w:ind w:left="432" w:hanging="288"/>
      </w:pPr>
      <w:r>
        <w:rPr>
          <w:rFonts w:ascii="Times New Roman" w:hAnsi="Times New Roman"/>
          <w:b/>
          <w:i w:val="0"/>
          <w:color w:val="19529C"/>
          <w:sz w:val="21"/>
        </w:rPr>
        <w:t xml:space="preserve">• </w:t>
      </w:r>
      <w:r>
        <w:rPr>
          <w:rFonts w:ascii="Times New Roman" w:hAnsi="Times New Roman"/>
          <w:b/>
          <w:i w:val="0"/>
          <w:color w:val="14141E"/>
          <w:sz w:val="21"/>
        </w:rPr>
        <w:t>Calibrated Uncertainty Quantification:</w:t>
      </w:r>
      <w:r>
        <w:rPr>
          <w:rFonts w:ascii="Times New Roman" w:hAnsi="Times New Roman"/>
          <w:b w:val="0"/>
          <w:i w:val="0"/>
          <w:color w:val="14141E"/>
          <w:sz w:val="21"/>
        </w:rPr>
        <w:t>Simultaneously predicts the surface reflectance mean</w:t>
      </w:r>
      <w:r>
        <w:rPr>
          <w:rFonts w:ascii="Cambria Math" w:hAnsi="Cambria Math"/>
          <w:b w:val="0"/>
          <w:i/>
          <w:color w:val="0F2864"/>
          <w:sz w:val="21"/>
        </w:rPr>
        <w:t>μ</w:t>
      </w:r>
      <w:r>
        <w:rPr>
          <w:rFonts w:ascii="Times New Roman" w:hAnsi="Times New Roman"/>
          <w:b w:val="0"/>
          <w:i w:val="0"/>
          <w:color w:val="14141E"/>
          <w:sz w:val="21"/>
        </w:rPr>
        <w:t>and pixel-wise aleatoric log-variance</w:t>
      </w:r>
      <w:r>
        <w:rPr>
          <w:rFonts w:ascii="Cambria Math" w:hAnsi="Cambria Math"/>
          <w:b w:val="0"/>
          <w:i/>
          <w:color w:val="0F2864"/>
          <w:sz w:val="21"/>
        </w:rPr>
        <w:t>log σ²</w:t>
      </w:r>
      <w:r>
        <w:rPr>
          <w:rFonts w:ascii="Times New Roman" w:hAnsi="Times New Roman"/>
          <w:b w:val="0"/>
          <w:i w:val="0"/>
          <w:color w:val="14141E"/>
          <w:sz w:val="21"/>
        </w:rPr>
        <w:t>under a heteroscedastic Gaussian Negative Log-Likelihood objective.</w:t>
      </w:r>
    </w:p>
    <w:p>
      <w:pPr>
        <w:spacing w:before="20" w:after="40" w:line="288" w:lineRule="auto"/>
        <w:ind w:left="432" w:hanging="288"/>
      </w:pPr>
      <w:r>
        <w:rPr>
          <w:rFonts w:ascii="Times New Roman" w:hAnsi="Times New Roman"/>
          <w:b/>
          <w:i w:val="0"/>
          <w:color w:val="19529C"/>
          <w:sz w:val="21"/>
        </w:rPr>
        <w:t xml:space="preserve">• </w:t>
      </w:r>
      <w:r>
        <w:rPr>
          <w:rFonts w:ascii="Times New Roman" w:hAnsi="Times New Roman"/>
          <w:b/>
          <w:i w:val="0"/>
          <w:color w:val="14141E"/>
          <w:sz w:val="21"/>
        </w:rPr>
        <w:t>Pareto-Optimal Edge Efficiency:</w:t>
      </w:r>
      <w:r>
        <w:rPr>
          <w:rFonts w:ascii="Times New Roman" w:hAnsi="Times New Roman"/>
          <w:b w:val="0"/>
          <w:i w:val="0"/>
          <w:color w:val="14141E"/>
          <w:sz w:val="21"/>
        </w:rPr>
        <w:t>Achieves state-of-the-art results (</w:t>
      </w:r>
      <w:r>
        <w:rPr>
          <w:rFonts w:ascii="Times New Roman" w:hAnsi="Times New Roman"/>
          <w:b/>
          <w:i w:val="0"/>
          <w:color w:val="14141E"/>
          <w:sz w:val="21"/>
        </w:rPr>
        <w:t>[MATH:32.17 dB:MATH] PSNR</w:t>
      </w:r>
      <w:r>
        <w:rPr>
          <w:rFonts w:ascii="Times New Roman" w:hAnsi="Times New Roman"/>
          <w:b w:val="0"/>
          <w:i w:val="0"/>
          <w:color w:val="14141E"/>
          <w:sz w:val="21"/>
        </w:rPr>
        <w:t>,</w:t>
      </w:r>
      <w:r>
        <w:rPr>
          <w:rFonts w:ascii="Times New Roman" w:hAnsi="Times New Roman"/>
          <w:b/>
          <w:i w:val="0"/>
          <w:color w:val="14141E"/>
          <w:sz w:val="21"/>
        </w:rPr>
        <w:t>[MATH:0.8754:MATH] SSIM</w:t>
      </w:r>
      <w:r>
        <w:rPr>
          <w:rFonts w:ascii="Times New Roman" w:hAnsi="Times New Roman"/>
          <w:b w:val="0"/>
          <w:i w:val="0"/>
          <w:color w:val="14141E"/>
          <w:sz w:val="21"/>
        </w:rPr>
        <w:t>,</w:t>
      </w:r>
      <w:r>
        <w:rPr>
          <w:rFonts w:ascii="Times New Roman" w:hAnsi="Times New Roman"/>
          <w:b/>
          <w:i w:val="0"/>
          <w:color w:val="14141E"/>
          <w:sz w:val="21"/>
        </w:rPr>
        <w:t>[MATH:0.0198 rad:MATH] SAM</w:t>
      </w:r>
      <w:r>
        <w:rPr>
          <w:rFonts w:ascii="Times New Roman" w:hAnsi="Times New Roman"/>
          <w:b w:val="0"/>
          <w:i w:val="0"/>
          <w:color w:val="14141E"/>
          <w:sz w:val="21"/>
        </w:rPr>
        <w:t>) with a compact</w:t>
      </w:r>
      <w:r>
        <w:rPr>
          <w:rFonts w:ascii="Times New Roman" w:hAnsi="Times New Roman"/>
          <w:b/>
          <w:i w:val="0"/>
          <w:color w:val="14141E"/>
          <w:sz w:val="21"/>
        </w:rPr>
        <w:t>[MATH:6.17 M:MATH] parameter footprint</w:t>
      </w:r>
      <w:r>
        <w:rPr>
          <w:rFonts w:ascii="Times New Roman" w:hAnsi="Times New Roman"/>
          <w:b w:val="0"/>
          <w:i w:val="0"/>
          <w:color w:val="14141E"/>
          <w:sz w:val="21"/>
        </w:rPr>
        <w:t>(</w:t>
      </w:r>
      <w:r>
        <w:rPr>
          <w:rFonts w:ascii="Cambria Math" w:hAnsi="Cambria Math"/>
          <w:b w:val="0"/>
          <w:i/>
          <w:color w:val="0F2864"/>
          <w:sz w:val="21"/>
        </w:rPr>
        <w:t>1.12 M</w:t>
      </w:r>
      <w:r>
        <w:rPr>
          <w:rFonts w:ascii="Times New Roman" w:hAnsi="Times New Roman"/>
          <w:b w:val="0"/>
          <w:i w:val="0"/>
          <w:color w:val="14141E"/>
          <w:sz w:val="21"/>
        </w:rPr>
        <w:t>base backbone), running in</w:t>
      </w:r>
      <w:r>
        <w:rPr>
          <w:rFonts w:ascii="Times New Roman" w:hAnsi="Times New Roman"/>
          <w:b/>
          <w:i w:val="0"/>
          <w:color w:val="14141E"/>
          <w:sz w:val="21"/>
        </w:rPr>
        <w:t>[MATH:24.96 ms:MATH]</w:t>
      </w:r>
      <w:r>
        <w:rPr>
          <w:rFonts w:ascii="Times New Roman" w:hAnsi="Times New Roman"/>
          <w:b w:val="0"/>
          <w:i w:val="0"/>
          <w:color w:val="14141E"/>
          <w:sz w:val="21"/>
        </w:rPr>
        <w:t>with</w:t>
      </w:r>
      <w:r>
        <w:rPr>
          <w:rFonts w:ascii="Times New Roman" w:hAnsi="Times New Roman"/>
          <w:b/>
          <w:i w:val="0"/>
          <w:color w:val="14141E"/>
          <w:sz w:val="21"/>
        </w:rPr>
        <w:t>[MATH:270 MB:MATH] peak VRAM</w:t>
      </w:r>
      <w:r>
        <w:rPr>
          <w:rFonts w:ascii="Times New Roman" w:hAnsi="Times New Roman"/>
          <w:b w:val="0"/>
          <w:i w:val="0"/>
          <w:color w:val="14141E"/>
          <w:sz w:val="21"/>
        </w:rPr>
        <w:t>.</w:t>
      </w:r>
    </w:p>
    <w:p>
      <w:pPr>
        <w:spacing w:before="160" w:after="160"/>
        <w:pBdr>
          <w:bottom w:val="single" w:sz="6" w:space="1" w:color="AAAAAA"/>
        </w:pBdr>
      </w:pPr>
    </w:p>
    <w:p>
      <w:pPr>
        <w:spacing w:before="280" w:after="80"/>
        <w:pBdr>
          <w:bottom w:val="single" w:sz="6" w:space="1" w:color="1B365D"/>
        </w:pBdr>
      </w:pPr>
      <w:r>
        <w:rPr>
          <w:rFonts w:ascii="Times New Roman" w:hAnsi="Times New Roman"/>
          <w:b/>
          <w:i w:val="0"/>
          <w:color w:val="0F2C5F"/>
          <w:sz w:val="23"/>
        </w:rPr>
        <w:t>II. RELATED WORK</w:t>
      </w:r>
    </w:p>
    <w:p>
      <w:pPr>
        <w:spacing w:before="40" w:after="80" w:line="288" w:lineRule="auto"/>
        <w:jc w:val="both"/>
      </w:pPr>
      <w:r>
        <w:rPr>
          <w:rFonts w:ascii="Times New Roman" w:hAnsi="Times New Roman"/>
          <w:b w:val="0"/>
          <w:i w:val="0"/>
          <w:color w:val="14141E"/>
          <w:sz w:val="21"/>
        </w:rPr>
        <w:t>Single-Image Super-Resolution (SISR) has evolved from early residual convolutional networks to generative adversarial models, vision transformers, and selective state-space architectures. Table I summarizes key milestones.</w:t>
      </w:r>
    </w:p>
    <w:p>
      <w:pPr>
        <w:spacing w:before="200" w:after="60"/>
      </w:pPr>
      <w:r>
        <w:rPr>
          <w:rFonts w:ascii="Times New Roman" w:hAnsi="Times New Roman"/>
          <w:b/>
          <w:i/>
          <w:color w:val="19529C"/>
          <w:sz w:val="22"/>
        </w:rPr>
        <w:t>Table I: Chronological Comparison of Super-Resolution Paradigms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8"/>
        <w:gridCol w:w="1098"/>
        <w:gridCol w:w="1098"/>
        <w:gridCol w:w="1098"/>
        <w:gridCol w:w="1098"/>
        <w:gridCol w:w="1098"/>
        <w:gridCol w:w="1098"/>
        <w:gridCol w:w="1098"/>
      </w:tblGrid>
      <w:tr>
        <w:trPr>
          <w:trHeight w:val="360"/>
        </w:trPr>
        <w:tc>
          <w:tcPr>
            <w:tcW w:type="dxa" w:w="1098"/>
            <w:vAlign w:val="center"/>
            <w:shd w:val="clear" w:color="auto" w:fill="1B365D"/>
            <w:tcBorders>
              <w:top w:val="single" w:sz="4" w:space="0" w:color="2C4D75"/>
              <w:left w:val="single" w:sz="4" w:space="0" w:color="2C4D75"/>
              <w:bottom w:val="single" w:sz="4" w:space="0" w:color="2C4D75"/>
              <w:right w:val="single" w:sz="4" w:space="0" w:color="2C4D7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Model</w:t>
            </w:r>
          </w:p>
        </w:tc>
        <w:tc>
          <w:tcPr>
            <w:tcW w:type="dxa" w:w="1098"/>
            <w:vAlign w:val="center"/>
            <w:shd w:val="clear" w:color="auto" w:fill="1B365D"/>
            <w:tcBorders>
              <w:top w:val="single" w:sz="4" w:space="0" w:color="2C4D75"/>
              <w:left w:val="single" w:sz="4" w:space="0" w:color="2C4D75"/>
              <w:bottom w:val="single" w:sz="4" w:space="0" w:color="2C4D75"/>
              <w:right w:val="single" w:sz="4" w:space="0" w:color="2C4D7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Year</w:t>
            </w:r>
          </w:p>
        </w:tc>
        <w:tc>
          <w:tcPr>
            <w:tcW w:type="dxa" w:w="1098"/>
            <w:vAlign w:val="center"/>
            <w:shd w:val="clear" w:color="auto" w:fill="1B365D"/>
            <w:tcBorders>
              <w:top w:val="single" w:sz="4" w:space="0" w:color="2C4D75"/>
              <w:left w:val="single" w:sz="4" w:space="0" w:color="2C4D75"/>
              <w:bottom w:val="single" w:sz="4" w:space="0" w:color="2C4D75"/>
              <w:right w:val="single" w:sz="4" w:space="0" w:color="2C4D7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Paradigm</w:t>
            </w:r>
          </w:p>
        </w:tc>
        <w:tc>
          <w:tcPr>
            <w:tcW w:type="dxa" w:w="1098"/>
            <w:vAlign w:val="center"/>
            <w:shd w:val="clear" w:color="auto" w:fill="1B365D"/>
            <w:tcBorders>
              <w:top w:val="single" w:sz="4" w:space="0" w:color="2C4D75"/>
              <w:left w:val="single" w:sz="4" w:space="0" w:color="2C4D75"/>
              <w:bottom w:val="single" w:sz="4" w:space="0" w:color="2C4D75"/>
              <w:right w:val="single" w:sz="4" w:space="0" w:color="2C4D7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Bands</w:t>
            </w:r>
          </w:p>
        </w:tc>
        <w:tc>
          <w:tcPr>
            <w:tcW w:type="dxa" w:w="1098"/>
            <w:vAlign w:val="center"/>
            <w:shd w:val="clear" w:color="auto" w:fill="1B365D"/>
            <w:tcBorders>
              <w:top w:val="single" w:sz="4" w:space="0" w:color="2C4D75"/>
              <w:left w:val="single" w:sz="4" w:space="0" w:color="2C4D75"/>
              <w:bottom w:val="single" w:sz="4" w:space="0" w:color="2C4D75"/>
              <w:right w:val="single" w:sz="4" w:space="0" w:color="2C4D7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Spatial Complexity</w:t>
            </w:r>
          </w:p>
        </w:tc>
        <w:tc>
          <w:tcPr>
            <w:tcW w:type="dxa" w:w="1098"/>
            <w:vAlign w:val="center"/>
            <w:shd w:val="clear" w:color="auto" w:fill="1B365D"/>
            <w:tcBorders>
              <w:top w:val="single" w:sz="4" w:space="0" w:color="2C4D75"/>
              <w:left w:val="single" w:sz="4" w:space="0" w:color="2C4D75"/>
              <w:bottom w:val="single" w:sz="4" w:space="0" w:color="2C4D75"/>
              <w:right w:val="single" w:sz="4" w:space="0" w:color="2C4D7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Physics / MTF</w:t>
            </w:r>
          </w:p>
        </w:tc>
        <w:tc>
          <w:tcPr>
            <w:tcW w:type="dxa" w:w="1098"/>
            <w:vAlign w:val="center"/>
            <w:shd w:val="clear" w:color="auto" w:fill="1B365D"/>
            <w:tcBorders>
              <w:top w:val="single" w:sz="4" w:space="0" w:color="2C4D75"/>
              <w:left w:val="single" w:sz="4" w:space="0" w:color="2C4D75"/>
              <w:bottom w:val="single" w:sz="4" w:space="0" w:color="2C4D75"/>
              <w:right w:val="single" w:sz="4" w:space="0" w:color="2C4D7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Uncertainty</w:t>
            </w:r>
          </w:p>
        </w:tc>
        <w:tc>
          <w:tcPr>
            <w:tcW w:type="dxa" w:w="1098"/>
            <w:vAlign w:val="center"/>
            <w:shd w:val="clear" w:color="auto" w:fill="1B365D"/>
            <w:tcBorders>
              <w:top w:val="single" w:sz="4" w:space="0" w:color="2C4D75"/>
              <w:left w:val="single" w:sz="4" w:space="0" w:color="2C4D75"/>
              <w:bottom w:val="single" w:sz="4" w:space="0" w:color="2C4D75"/>
              <w:right w:val="single" w:sz="4" w:space="0" w:color="2C4D7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Primary Bottleneck in Satellite SR</w:t>
            </w:r>
          </w:p>
        </w:tc>
      </w:tr>
      <w:tr>
        <w:trPr>
          <w:trHeight w:val="300"/>
        </w:trPr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SRCNN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2014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CNN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3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Cambria Math" w:hAnsi="Cambria Math"/>
                <w:b w:val="0"/>
                <w:i/>
                <w:color w:val="0F2864"/>
                <w:sz w:val="18"/>
              </w:rPr>
              <w:t>O(K² N)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No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No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Tiny receptive field; pre-upsampling compute overhead</w:t>
            </w:r>
          </w:p>
        </w:tc>
      </w:tr>
      <w:tr>
        <w:trPr>
          <w:trHeight w:val="300"/>
        </w:trPr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VDSR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2016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Residual CNN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3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Cambria Math" w:hAnsi="Cambria Math"/>
                <w:b w:val="0"/>
                <w:i/>
                <w:color w:val="0F2864"/>
                <w:sz w:val="18"/>
              </w:rPr>
              <w:t>O(L · K² N)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No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No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Deep isotropic convolutions oversmooth agricultural boundaries</w:t>
            </w:r>
          </w:p>
        </w:tc>
      </w:tr>
      <w:tr>
        <w:trPr>
          <w:trHeight w:val="300"/>
        </w:trPr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EDSR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2017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Residual CNN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3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Cambria Math" w:hAnsi="Cambria Math"/>
                <w:b w:val="0"/>
                <w:i/>
                <w:color w:val="0F2864"/>
                <w:sz w:val="18"/>
              </w:rPr>
              <w:t>O(B · K² N)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No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No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Parameter heavy (~43M); ignores native multi-resolution bands</w:t>
            </w:r>
          </w:p>
        </w:tc>
      </w:tr>
      <w:tr>
        <w:trPr>
          <w:trHeight w:val="300"/>
        </w:trPr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SRGAN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2017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GAN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3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Cambria Math" w:hAnsi="Cambria Math"/>
                <w:b w:val="0"/>
                <w:i/>
                <w:color w:val="0F2864"/>
                <w:sz w:val="18"/>
              </w:rPr>
              <w:t>O(K² N)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No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No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Hallucinates non-existent ground textures; corrupts radiometry</w:t>
            </w:r>
          </w:p>
        </w:tc>
      </w:tr>
      <w:tr>
        <w:trPr>
          <w:trHeight w:val="300"/>
        </w:trPr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DSen2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2018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RS CNN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12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Cambria Math" w:hAnsi="Cambria Math"/>
                <w:b w:val="0"/>
                <w:i/>
                <w:color w:val="0F2864"/>
                <w:sz w:val="18"/>
              </w:rPr>
              <w:t>O(K² N)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Partial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No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Restricted to 10m target; isotropic</w:t>
            </w:r>
            <w:r>
              <w:rPr>
                <w:rFonts w:ascii="Cambria Math" w:hAnsi="Cambria Math"/>
                <w:b w:val="0"/>
                <w:i/>
                <w:color w:val="0F2864"/>
                <w:sz w:val="18"/>
              </w:rPr>
              <w:t>L_1</w:t>
            </w: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blur; purely deterministic</w:t>
            </w:r>
          </w:p>
        </w:tc>
      </w:tr>
      <w:tr>
        <w:trPr>
          <w:trHeight w:val="300"/>
        </w:trPr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RCAN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2018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Channel Attn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3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Cambria Math" w:hAnsi="Cambria Math"/>
                <w:b w:val="0"/>
                <w:i/>
                <w:color w:val="0F2864"/>
                <w:sz w:val="18"/>
              </w:rPr>
              <w:t>O(K² N) + O(C²)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No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No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Abstract channel attention ignores continuous physical wavelengths</w:t>
            </w:r>
          </w:p>
        </w:tc>
      </w:tr>
      <w:tr>
        <w:trPr>
          <w:trHeight w:val="300"/>
        </w:trPr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SwinIR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2021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Transformer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3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Cambria Math" w:hAnsi="Cambria Math"/>
                <w:b w:val="0"/>
                <w:i/>
                <w:color w:val="0F2864"/>
                <w:sz w:val="18"/>
              </w:rPr>
              <w:t>O(M² N)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No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No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Shifted-window tiling artifacts; heavy memory footprint</w:t>
            </w:r>
          </w:p>
        </w:tc>
      </w:tr>
      <w:tr>
        <w:trPr>
          <w:trHeight w:val="300"/>
        </w:trPr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Restormer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2022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Transformer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3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Cambria Math" w:hAnsi="Cambria Math"/>
                <w:b w:val="0"/>
                <w:i/>
                <w:color w:val="0F2864"/>
                <w:sz w:val="18"/>
              </w:rPr>
              <w:t>O(C² N)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No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No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Transposed channel attention computationally prohibitive for 12 bands</w:t>
            </w:r>
          </w:p>
        </w:tc>
      </w:tr>
      <w:tr>
        <w:trPr>
          <w:trHeight w:val="300"/>
        </w:trPr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OpenSR-SRGAN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2023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RS GAN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4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Cambria Math" w:hAnsi="Cambria Math"/>
                <w:b w:val="0"/>
                <w:i/>
                <w:color w:val="0F2864"/>
                <w:sz w:val="18"/>
              </w:rPr>
              <w:t>O(K² N)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Empirical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No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Restricted to 4 bands (RGB-NIR); hallucinates spectral signatures</w:t>
            </w:r>
          </w:p>
        </w:tc>
      </w:tr>
      <w:tr>
        <w:trPr>
          <w:trHeight w:val="300"/>
        </w:trPr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MambaIR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2024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SSM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3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Cambria Math" w:hAnsi="Cambria Math"/>
                <w:b w:val="0"/>
                <w:i/>
                <w:color w:val="0F2864"/>
                <w:sz w:val="18"/>
              </w:rPr>
              <w:t>O(N)</w:t>
            </w: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Linear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No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No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RGB-only; isotropic scanning ignores multi-band physical spectra</w:t>
            </w:r>
          </w:p>
        </w:tc>
      </w:tr>
      <w:tr>
        <w:trPr>
          <w:trHeight w:val="300"/>
        </w:trPr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TriSpecWaveMambaUQ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/>
                <w:color w:val="14141E"/>
                <w:sz w:val="18"/>
              </w:rPr>
              <w:t>Ours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Hybrid SSM+UQ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Full 12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[MATH:O(N):MATH] Linear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Yes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Yes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Unified 12-band [MATH:4×:MATH] downscaling to 2.5m; calibrated UQ; 24.96 ms</w:t>
            </w:r>
          </w:p>
        </w:tc>
      </w:tr>
    </w:tbl>
    <w:p>
      <w:pPr>
        <w:spacing w:before="0" w:after="160"/>
      </w:pPr>
    </w:p>
    <w:p>
      <w:pPr>
        <w:spacing w:before="200" w:after="60"/>
      </w:pPr>
      <w:r>
        <w:rPr>
          <w:rFonts w:ascii="Times New Roman" w:hAnsi="Times New Roman"/>
          <w:b/>
          <w:i/>
          <w:color w:val="19529C"/>
          <w:sz w:val="22"/>
        </w:rPr>
        <w:t>Key Architectural Takeaways for CSE Students</w:t>
      </w:r>
    </w:p>
    <w:p>
      <w:pPr>
        <w:spacing w:before="40" w:after="60" w:line="288" w:lineRule="auto"/>
        <w:ind w:left="504" w:hanging="360"/>
      </w:pPr>
      <w:r>
        <w:rPr>
          <w:rFonts w:ascii="Times New Roman" w:hAnsi="Times New Roman"/>
          <w:b/>
          <w:i w:val="0"/>
          <w:color w:val="0F2C5F"/>
          <w:sz w:val="21"/>
        </w:rPr>
        <w:t xml:space="preserve">1. </w:t>
      </w:r>
      <w:r>
        <w:rPr>
          <w:rFonts w:ascii="Times New Roman" w:hAnsi="Times New Roman"/>
          <w:b/>
          <w:i w:val="0"/>
          <w:color w:val="14141E"/>
          <w:sz w:val="21"/>
        </w:rPr>
        <w:t>From Convolutions to State Spaces:</w:t>
      </w:r>
      <w:r>
        <w:rPr>
          <w:rFonts w:ascii="Times New Roman" w:hAnsi="Times New Roman"/>
          <w:b w:val="0"/>
          <w:i w:val="0"/>
          <w:color w:val="14141E"/>
          <w:sz w:val="21"/>
        </w:rPr>
        <w:t>CNNs have small receptive fields, and Transformers incur quadratic complexity</w:t>
      </w:r>
      <w:r>
        <w:rPr>
          <w:rFonts w:ascii="Cambria Math" w:hAnsi="Cambria Math"/>
          <w:b w:val="0"/>
          <w:i/>
          <w:color w:val="0F2864"/>
          <w:sz w:val="21"/>
        </w:rPr>
        <w:t>O(N²)</w:t>
      </w:r>
      <w:r>
        <w:rPr>
          <w:rFonts w:ascii="Times New Roman" w:hAnsi="Times New Roman"/>
          <w:b w:val="0"/>
          <w:i w:val="0"/>
          <w:color w:val="14141E"/>
          <w:sz w:val="21"/>
        </w:rPr>
        <w:t>. State Space Models (Mamba) behave like recurrent neural networks with input-dependent weights that can be parallelized during training via prefix scans, running in</w:t>
      </w:r>
      <w:r>
        <w:rPr>
          <w:rFonts w:ascii="Times New Roman" w:hAnsi="Times New Roman"/>
          <w:b/>
          <w:i w:val="0"/>
          <w:color w:val="14141E"/>
          <w:sz w:val="21"/>
        </w:rPr>
        <w:t>strictly linear time [MATH:O(N):MATH]</w:t>
      </w:r>
      <w:r>
        <w:rPr>
          <w:rFonts w:ascii="Times New Roman" w:hAnsi="Times New Roman"/>
          <w:b w:val="0"/>
          <w:i w:val="0"/>
          <w:color w:val="14141E"/>
          <w:sz w:val="21"/>
        </w:rPr>
        <w:t>.</w:t>
      </w:r>
    </w:p>
    <w:p>
      <w:pPr>
        <w:spacing w:before="40" w:after="60" w:line="288" w:lineRule="auto"/>
        <w:ind w:left="504" w:hanging="360"/>
      </w:pPr>
      <w:r>
        <w:rPr>
          <w:rFonts w:ascii="Times New Roman" w:hAnsi="Times New Roman"/>
          <w:b/>
          <w:i w:val="0"/>
          <w:color w:val="0F2C5F"/>
          <w:sz w:val="21"/>
        </w:rPr>
        <w:t xml:space="preserve">2. </w:t>
      </w:r>
      <w:r>
        <w:rPr>
          <w:rFonts w:ascii="Times New Roman" w:hAnsi="Times New Roman"/>
          <w:b/>
          <w:i w:val="0"/>
          <w:color w:val="14141E"/>
          <w:sz w:val="21"/>
        </w:rPr>
        <w:t>Frequency Decoupling:</w:t>
      </w:r>
      <w:r>
        <w:rPr>
          <w:rFonts w:ascii="Times New Roman" w:hAnsi="Times New Roman"/>
          <w:b w:val="0"/>
          <w:i w:val="0"/>
          <w:color w:val="14141E"/>
          <w:sz w:val="21"/>
        </w:rPr>
        <w:t>Wavelet transforms cleanly split an image into low frequencies (broad illumination and land cover) and high frequencies (sharp edges and boundaries), allowing specialized neural processing for each.</w:t>
      </w:r>
    </w:p>
    <w:p>
      <w:pPr>
        <w:spacing w:before="40" w:after="60" w:line="288" w:lineRule="auto"/>
        <w:ind w:left="504" w:hanging="360"/>
      </w:pPr>
      <w:r>
        <w:rPr>
          <w:rFonts w:ascii="Times New Roman" w:hAnsi="Times New Roman"/>
          <w:b/>
          <w:i w:val="0"/>
          <w:color w:val="0F2C5F"/>
          <w:sz w:val="21"/>
        </w:rPr>
        <w:t xml:space="preserve">3. </w:t>
      </w:r>
      <w:r>
        <w:rPr>
          <w:rFonts w:ascii="Times New Roman" w:hAnsi="Times New Roman"/>
          <w:b/>
          <w:i w:val="0"/>
          <w:color w:val="14141E"/>
          <w:sz w:val="21"/>
        </w:rPr>
        <w:t>Physics-Guided Guardrails:</w:t>
      </w:r>
      <w:r>
        <w:rPr>
          <w:rFonts w:ascii="Times New Roman" w:hAnsi="Times New Roman"/>
          <w:b w:val="0"/>
          <w:i w:val="0"/>
          <w:color w:val="14141E"/>
          <w:sz w:val="21"/>
        </w:rPr>
        <w:t>Without physical constraints, neural networks invent plausible-looking fake textures. Enforcing sensor optical blur (MTF) consistency acts as an autoencoder sanity check that prevents hallucinations.</w:t>
      </w:r>
    </w:p>
    <w:p>
      <w:pPr>
        <w:spacing w:before="40" w:after="60" w:line="288" w:lineRule="auto"/>
        <w:ind w:left="504" w:hanging="360"/>
      </w:pPr>
      <w:r>
        <w:rPr>
          <w:rFonts w:ascii="Times New Roman" w:hAnsi="Times New Roman"/>
          <w:b/>
          <w:i w:val="0"/>
          <w:color w:val="0F2C5F"/>
          <w:sz w:val="21"/>
        </w:rPr>
        <w:t xml:space="preserve">4. </w:t>
      </w:r>
      <w:r>
        <w:rPr>
          <w:rFonts w:ascii="Times New Roman" w:hAnsi="Times New Roman"/>
          <w:b/>
          <w:i w:val="0"/>
          <w:color w:val="14141E"/>
          <w:sz w:val="21"/>
        </w:rPr>
        <w:t>Aleatoric Uncertainty Modeling:</w:t>
      </w:r>
      <w:r>
        <w:rPr>
          <w:rFonts w:ascii="Times New Roman" w:hAnsi="Times New Roman"/>
          <w:b w:val="0"/>
          <w:i w:val="0"/>
          <w:color w:val="14141E"/>
          <w:sz w:val="21"/>
        </w:rPr>
        <w:t>Formulating super-resolution under a heteroscedastic Gaussian likelihood forces the model to predict both an answer (mean) and a confidence score (variance), giving automated systems an interpretable safety metric.</w:t>
      </w:r>
    </w:p>
    <w:p>
      <w:pPr>
        <w:spacing w:before="160" w:after="160"/>
        <w:pBdr>
          <w:bottom w:val="single" w:sz="6" w:space="1" w:color="AAAAAA"/>
        </w:pBdr>
      </w:pPr>
    </w:p>
    <w:p>
      <w:pPr>
        <w:spacing w:before="280" w:after="80"/>
        <w:pBdr>
          <w:bottom w:val="single" w:sz="6" w:space="1" w:color="1B365D"/>
        </w:pBdr>
      </w:pPr>
      <w:r>
        <w:rPr>
          <w:rFonts w:ascii="Times New Roman" w:hAnsi="Times New Roman"/>
          <w:b/>
          <w:i w:val="0"/>
          <w:color w:val="0F2C5F"/>
          <w:sz w:val="23"/>
        </w:rPr>
        <w:t>III. METHODOLOGY</w:t>
      </w:r>
    </w:p>
    <w:p>
      <w:pPr>
        <w:spacing w:before="200" w:after="60"/>
      </w:pPr>
      <w:r>
        <w:rPr>
          <w:rFonts w:ascii="Times New Roman" w:hAnsi="Times New Roman"/>
          <w:b/>
          <w:i/>
          <w:color w:val="19529C"/>
          <w:sz w:val="22"/>
        </w:rPr>
        <w:t>A. Architectural Overview</w:t>
      </w:r>
    </w:p>
    <w:p>
      <w:pPr>
        <w:spacing w:before="40" w:after="80" w:line="288" w:lineRule="auto"/>
        <w:jc w:val="both"/>
      </w:pPr>
      <w:r>
        <w:rPr>
          <w:rFonts w:ascii="Times New Roman" w:hAnsi="Times New Roman"/>
          <w:b w:val="0"/>
          <w:i w:val="0"/>
          <w:color w:val="14141E"/>
          <w:sz w:val="21"/>
        </w:rPr>
        <w:t>TriSpecWaveMambaUQ super-resolves all 12 Sentinel-2 bands from their native resolutions (</w:t>
      </w:r>
      <w:r>
        <w:rPr>
          <w:rFonts w:ascii="Cambria Math" w:hAnsi="Cambria Math"/>
          <w:b w:val="0"/>
          <w:i/>
          <w:color w:val="0F2864"/>
          <w:sz w:val="21"/>
        </w:rPr>
        <w:t>10 m, 20 m, 60 m</w:t>
      </w:r>
      <w:r>
        <w:rPr>
          <w:rFonts w:ascii="Times New Roman" w:hAnsi="Times New Roman"/>
          <w:b w:val="0"/>
          <w:i w:val="0"/>
          <w:color w:val="14141E"/>
          <w:sz w:val="21"/>
        </w:rPr>
        <w:t>) to a uniform</w:t>
      </w:r>
      <w:r>
        <w:rPr>
          <w:rFonts w:ascii="Cambria Math" w:hAnsi="Cambria Math"/>
          <w:b w:val="0"/>
          <w:i/>
          <w:color w:val="0F2864"/>
          <w:sz w:val="21"/>
        </w:rPr>
        <w:t>2.5 m</w:t>
      </w:r>
      <w:r>
        <w:rPr>
          <w:rFonts w:ascii="Times New Roman" w:hAnsi="Times New Roman"/>
          <w:b w:val="0"/>
          <w:i w:val="0"/>
          <w:color w:val="14141E"/>
          <w:sz w:val="21"/>
        </w:rPr>
        <w:t>Ground Sampling Distance (</w:t>
      </w:r>
      <w:r>
        <w:rPr>
          <w:rFonts w:ascii="Cambria Math" w:hAnsi="Cambria Math"/>
          <w:b w:val="0"/>
          <w:i/>
          <w:color w:val="0F2864"/>
          <w:sz w:val="21"/>
        </w:rPr>
        <w:t>4×</w:t>
      </w:r>
      <w:r>
        <w:rPr>
          <w:rFonts w:ascii="Times New Roman" w:hAnsi="Times New Roman"/>
          <w:b w:val="0"/>
          <w:i w:val="0"/>
          <w:color w:val="14141E"/>
          <w:sz w:val="21"/>
        </w:rPr>
        <w:t>scale factor).</w:t>
      </w:r>
    </w:p>
    <w:p>
      <w:pPr>
        <w:spacing w:before="160" w:after="160"/>
        <w:ind w:left="432" w:right="432"/>
        <w:shd w:val="clear" w:color="auto" w:fill="F0F0F0"/>
      </w:pPr>
      <w:r>
        <w:rPr>
          <w:rFonts w:ascii="Consolas" w:hAnsi="Consolas"/>
          <w:b w:val="0"/>
          <w:i w:val="0"/>
          <w:color w:val="1E1E1E"/>
          <w:sz w:val="17"/>
        </w:rPr>
        <w:t>========================================================================================</w:t>
        <w:br/>
        <w:t xml:space="preserve">                          TriSpecWaveMambaUQ ARCHITECTURE</w:t>
        <w:br/>
        <w:t>========================================================================================</w:t>
        <w:br/>
        <w:t>Input: 12-Band Sentinel-2 MSI Cube (Native Resolutions)</w:t>
        <w:br/>
        <w:t xml:space="preserve">  ├── 10m Group: B2, B3, B4, B8        ──► GroupConv10m (4 -&gt; C) ─────────────┐</w:t>
        <w:br/>
        <w:t xml:space="preserve">  ├── 20m Group: B5..B7, B8A, B11, B12 ──► GroupConv20m (6 -&gt; C) ──► Bilinear 2x ┤</w:t>
        <w:br/>
        <w:t xml:space="preserve">  └── 60m Group: B1, B9                ──► GroupConv60m (2 -&gt; C) ──► Bilinear 6x ┘</w:t>
        <w:br/>
        <w:t xml:space="preserve">                                                                               │</w:t>
        <w:br/>
        <w:t xml:space="preserve">                                    ┌──────────────────────────────────────────┘</w:t>
        <w:br/>
        <w:t xml:space="preserve">                                    ▼</w:t>
        <w:br/>
        <w:t xml:space="preserve">                         [Gated Bilinear Fusion]</w:t>
        <w:br/>
        <w:t xml:space="preserve">                                    │</w:t>
        <w:br/>
        <w:t xml:space="preserve">                    [3-Node Spectral Graph Attention]  (Cross-GSD Topological Routing)</w:t>
        <w:br/>
        <w:t xml:space="preserve">                                    │</w:t>
        <w:br/>
        <w:t xml:space="preserve">                    [1D Continuous SpectralMamba]     (Wavelength-Aware SSM, O(C))</w:t>
        <w:br/>
        <w:t xml:space="preserve">                                    │</w:t>
        <w:br/>
        <w:t xml:space="preserve">                    [2D Haar Wavelet Decomposition]</w:t>
        <w:br/>
        <w:t xml:space="preserve">                                    │</w:t>
        <w:br/>
        <w:t xml:space="preserve">                   ┌────────────────┴────────────────┐</w:t>
        <w:br/>
        <w:t xml:space="preserve">                   ▼                                 ▼</w:t>
        <w:br/>
        <w:t xml:space="preserve">         Low-Frequency (LL)               High-Frequency (LH, HL, HH)</w:t>
        <w:br/>
        <w:t xml:space="preserve">         [2D SpatialMamba]                [Directional StripConvs (1x7, 7x1)]</w:t>
        <w:br/>
        <w:t xml:space="preserve">         (Global Receptive Field, O(N))   [NAF Residual Feature Blocks]</w:t>
        <w:br/>
        <w:t xml:space="preserve">                   └────────────────┬────────────────┘</w:t>
        <w:br/>
        <w:t xml:space="preserve">                                    │</w:t>
        <w:br/>
        <w:t xml:space="preserve">                    [Inverse Haar Wavelet Synthesis]</w:t>
        <w:br/>
        <w:t xml:space="preserve">                                    │</w:t>
        <w:br/>
        <w:t xml:space="preserve">                  [Progressive 4x PixelShuffle Upsampling]</w:t>
        <w:br/>
        <w:t xml:space="preserve">                             (2x -&gt; Conv -&gt; 2x)</w:t>
        <w:br/>
        <w:t xml:space="preserve">                                    │</w:t>
        <w:br/>
        <w:t xml:space="preserve">                   ┌────────────────┴────────────────┐</w:t>
        <w:br/>
        <w:t xml:space="preserve">                   ▼                                 ▼</w:t>
        <w:br/>
        <w:t xml:space="preserve">        [Predictive Mean Head μ]           [Aleatoric Log-Variance Head log σ²]</w:t>
        <w:br/>
        <w:t xml:space="preserve">        12 Bands @ 2.5m GSD                12 Bands Calibrated Pixel Variance</w:t>
        <w:br/>
        <w:t xml:space="preserve">                   │                                 │</w:t>
        <w:br/>
        <w:t xml:space="preserve">                   └────────────────┬────────────────┘</w:t>
        <w:br/>
        <w:t xml:space="preserve">                                    ▼</w:t>
        <w:br/>
        <w:t xml:space="preserve">                        [Physics-Informed Training]</w:t>
        <w:br/>
        <w:t xml:space="preserve">         Heteroscedastic NLL  +  Sensor MTF  +  Shifted-Window Edge  +  SAM</w:t>
        <w:br/>
        <w:t>========================================================================================</w:t>
      </w:r>
    </w:p>
    <w:p>
      <w:pPr>
        <w:keepNext/>
        <w:spacing w:before="2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45223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plified_Model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22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Times New Roman" w:hAnsi="Times New Roman"/>
          <w:b/>
          <w:i w:val="0"/>
          <w:color w:val="5A5A6E"/>
          <w:sz w:val="19"/>
        </w:rPr>
        <w:t>Figure 1:</w:t>
      </w:r>
      <w:r>
        <w:rPr>
          <w:rFonts w:ascii="Times New Roman" w:hAnsi="Times New Roman"/>
          <w:b w:val="0"/>
          <w:i/>
          <w:color w:val="5A5A6E"/>
          <w:sz w:val="19"/>
        </w:rPr>
      </w:r>
      <w:r>
        <w:rPr>
          <w:rFonts w:ascii="Times New Roman" w:hAnsi="Times New Roman"/>
          <w:b w:val="0"/>
          <w:i/>
          <w:color w:val="5A5A6E"/>
          <w:sz w:val="19"/>
        </w:rPr>
        <w:t>TriSpecWaveMambaUQ End-to-End Architecture Overview. Demonstrates the tri-stream grouped native encoder, gated bilinear fusion, 3-node spectral graph attention, 1D SpectralMamba, 2D Haar Wavelet frequency decoupling with SpatialMamba, and progressive upsampling terminating in dual predictive mean and aleatoric uncertainty heads.</w:t>
      </w:r>
    </w:p>
    <w:p>
      <w:pPr>
        <w:spacing w:before="200" w:after="60"/>
      </w:pPr>
      <w:r>
        <w:rPr>
          <w:rFonts w:ascii="Times New Roman" w:hAnsi="Times New Roman"/>
          <w:b/>
          <w:i/>
          <w:color w:val="19529C"/>
          <w:sz w:val="22"/>
        </w:rPr>
        <w:t>B. Tri-Stream Native Feature Extraction and Gated Fusion</w:t>
      </w:r>
    </w:p>
    <w:p>
      <w:pPr>
        <w:spacing w:before="40" w:after="80" w:line="288" w:lineRule="auto"/>
        <w:jc w:val="both"/>
      </w:pPr>
      <w:r>
        <w:rPr>
          <w:rFonts w:ascii="Times New Roman" w:hAnsi="Times New Roman"/>
          <w:b w:val="0"/>
          <w:i w:val="0"/>
          <w:color w:val="14141E"/>
          <w:sz w:val="21"/>
        </w:rPr>
        <w:t>Sentinel-2 bands are grouped by their native detector pixel pitch:</w:t>
      </w:r>
    </w:p>
    <w:p>
      <w:pPr>
        <w:spacing w:before="120" w:after="120"/>
        <w:ind w:left="720" w:right="720"/>
        <w:jc w:val="center"/>
      </w:pPr>
      <w:r>
        <w:rPr>
          <w:rFonts w:ascii="Cambria Math" w:hAnsi="Cambria Math"/>
          <w:b w:val="0"/>
          <w:i/>
          <w:color w:val="0A1E50"/>
          <w:sz w:val="22"/>
        </w:rPr>
        <w:t>I_10m = \2, 3, 4, 8\,    I_20m = \5, 6, 7, 8A, 11, 12\,    I_60m = \1, 9\</w:t>
      </w:r>
    </w:p>
    <w:p>
      <w:pPr>
        <w:spacing w:before="40" w:after="80" w:line="288" w:lineRule="auto"/>
        <w:jc w:val="both"/>
      </w:pPr>
      <w:r>
        <w:rPr>
          <w:rFonts w:ascii="Times New Roman" w:hAnsi="Times New Roman"/>
          <w:b w:val="0"/>
          <w:i w:val="0"/>
          <w:color w:val="14141E"/>
          <w:sz w:val="21"/>
        </w:rPr>
        <w:t>Each group is passed to a dedicated grouped convolutional encoder</w:t>
      </w:r>
      <w:r>
        <w:rPr>
          <w:rFonts w:ascii="Cambria Math" w:hAnsi="Cambria Math"/>
          <w:b w:val="0"/>
          <w:i/>
          <w:color w:val="0F2864"/>
          <w:sz w:val="21"/>
        </w:rPr>
        <w:t>E_g</w:t>
      </w:r>
      <w:r>
        <w:rPr>
          <w:rFonts w:ascii="Times New Roman" w:hAnsi="Times New Roman"/>
          <w:b w:val="0"/>
          <w:i w:val="0"/>
          <w:color w:val="14141E"/>
          <w:sz w:val="21"/>
        </w:rPr>
        <w:t>:</w:t>
      </w:r>
    </w:p>
    <w:p>
      <w:pPr>
        <w:spacing w:before="120" w:after="120"/>
        <w:ind w:left="720" w:right="720"/>
        <w:jc w:val="center"/>
      </w:pPr>
      <w:r>
        <w:rPr>
          <w:rFonts w:ascii="Cambria Math" w:hAnsi="Cambria Math"/>
          <w:b w:val="0"/>
          <w:i/>
          <w:color w:val="0A1E50"/>
          <w:sz w:val="22"/>
        </w:rPr>
        <w:t>F_10m = E_10m(X_10m),    F_20m = E_20m(X_20m),    F_60m = E_60m(X_60m)</w:t>
      </w:r>
    </w:p>
    <w:p>
      <w:pPr>
        <w:spacing w:before="40" w:after="80" w:line="288" w:lineRule="auto"/>
        <w:jc w:val="both"/>
      </w:pPr>
      <w:r>
        <w:rPr>
          <w:rFonts w:ascii="Times New Roman" w:hAnsi="Times New Roman"/>
          <w:b w:val="0"/>
          <w:i w:val="0"/>
          <w:color w:val="14141E"/>
          <w:sz w:val="21"/>
        </w:rPr>
        <w:t>To reconcile spatial dimensions without destroying raw spectral integrity, features</w:t>
      </w:r>
      <w:r>
        <w:rPr>
          <w:rFonts w:ascii="Cambria Math" w:hAnsi="Cambria Math"/>
          <w:b w:val="0"/>
          <w:i/>
          <w:color w:val="0F2864"/>
          <w:sz w:val="21"/>
        </w:rPr>
        <w:t>F_20m</w:t>
      </w:r>
      <w:r>
        <w:rPr>
          <w:rFonts w:ascii="Times New Roman" w:hAnsi="Times New Roman"/>
          <w:b w:val="0"/>
          <w:i w:val="0"/>
          <w:color w:val="14141E"/>
          <w:sz w:val="21"/>
        </w:rPr>
        <w:t>and</w:t>
      </w:r>
      <w:r>
        <w:rPr>
          <w:rFonts w:ascii="Cambria Math" w:hAnsi="Cambria Math"/>
          <w:b w:val="0"/>
          <w:i/>
          <w:color w:val="0F2864"/>
          <w:sz w:val="21"/>
        </w:rPr>
        <w:t>F_60m</w:t>
      </w:r>
      <w:r>
        <w:rPr>
          <w:rFonts w:ascii="Times New Roman" w:hAnsi="Times New Roman"/>
          <w:b w:val="0"/>
          <w:i w:val="0"/>
          <w:color w:val="14141E"/>
          <w:sz w:val="21"/>
        </w:rPr>
        <w:t>are upsampled via bilinear interpolation to match the</w:t>
      </w:r>
      <w:r>
        <w:rPr>
          <w:rFonts w:ascii="Cambria Math" w:hAnsi="Cambria Math"/>
          <w:b w:val="0"/>
          <w:i/>
          <w:color w:val="0F2864"/>
          <w:sz w:val="21"/>
        </w:rPr>
        <w:t>10 m</w:t>
      </w:r>
      <w:r>
        <w:rPr>
          <w:rFonts w:ascii="Times New Roman" w:hAnsi="Times New Roman"/>
          <w:b w:val="0"/>
          <w:i w:val="0"/>
          <w:color w:val="14141E"/>
          <w:sz w:val="21"/>
        </w:rPr>
        <w:t>grid and merged via learned gating:</w:t>
      </w:r>
    </w:p>
    <w:p>
      <w:pPr>
        <w:spacing w:before="120" w:after="120"/>
        <w:ind w:left="720" w:right="720"/>
        <w:jc w:val="center"/>
      </w:pPr>
      <w:r>
        <w:rPr>
          <w:rFonts w:ascii="Cambria Math" w:hAnsi="Cambria Math"/>
          <w:b w:val="0"/>
          <w:i/>
          <w:color w:val="0A1E50"/>
          <w:sz w:val="22"/>
        </w:rPr>
        <w:t>F_fused = F_10m + W_gate \ast ≤ft[ F_20m^↑,   F_60m^↑ ]</w:t>
      </w:r>
    </w:p>
    <w:p>
      <w:pPr>
        <w:spacing w:before="40" w:after="80" w:line="288" w:lineRule="auto"/>
        <w:jc w:val="both"/>
      </w:pPr>
      <w:r>
        <w:rPr>
          <w:rFonts w:ascii="Times New Roman" w:hAnsi="Times New Roman"/>
          <w:b w:val="0"/>
          <w:i/>
          <w:color w:val="14141E"/>
          <w:sz w:val="21"/>
        </w:rPr>
        <w:t>Intuition for CSE Students:</w:t>
      </w:r>
      <w:r>
        <w:rPr>
          <w:rFonts w:ascii="Times New Roman" w:hAnsi="Times New Roman"/>
          <w:b w:val="0"/>
          <w:i w:val="0"/>
          <w:color w:val="14141E"/>
          <w:sz w:val="21"/>
        </w:rPr>
        <w:t>Instead of blindly resizing images in preprocessing, we let the network learn how much coarse information to inject into the sharp</w:t>
      </w:r>
      <w:r>
        <w:rPr>
          <w:rFonts w:ascii="Cambria Math" w:hAnsi="Cambria Math"/>
          <w:b w:val="0"/>
          <w:i/>
          <w:color w:val="0F2864"/>
          <w:sz w:val="21"/>
        </w:rPr>
        <w:t>10 m</w:t>
      </w:r>
      <w:r>
        <w:rPr>
          <w:rFonts w:ascii="Times New Roman" w:hAnsi="Times New Roman"/>
          <w:b w:val="0"/>
          <w:i w:val="0"/>
          <w:color w:val="14141E"/>
          <w:sz w:val="21"/>
        </w:rPr>
        <w:t>grid using a convolutional gate.</w:t>
      </w:r>
    </w:p>
    <w:p>
      <w:pPr>
        <w:spacing w:before="200" w:after="60"/>
      </w:pPr>
      <w:r>
        <w:rPr>
          <w:rFonts w:ascii="Times New Roman" w:hAnsi="Times New Roman"/>
          <w:b/>
          <w:i/>
          <w:color w:val="19529C"/>
          <w:sz w:val="22"/>
        </w:rPr>
        <w:t>C. Spectral Dependency Modeling: Spectral Graph + SpectralMamba</w:t>
      </w:r>
    </w:p>
    <w:p>
      <w:pPr>
        <w:spacing w:before="40" w:after="80" w:line="288" w:lineRule="auto"/>
        <w:jc w:val="both"/>
      </w:pPr>
      <w:r>
        <w:rPr>
          <w:rFonts w:ascii="Times New Roman" w:hAnsi="Times New Roman"/>
          <w:b w:val="0"/>
          <w:i w:val="0"/>
          <w:color w:val="14141E"/>
          <w:sz w:val="21"/>
        </w:rPr>
        <w:t>The 12 channels represent physical electromagnetic wavelengths from</w:t>
      </w:r>
      <w:r>
        <w:rPr>
          <w:rFonts w:ascii="Cambria Math" w:hAnsi="Cambria Math"/>
          <w:b w:val="0"/>
          <w:i/>
          <w:color w:val="0F2864"/>
          <w:sz w:val="21"/>
        </w:rPr>
        <w:t>443 nm</w:t>
      </w:r>
      <w:r>
        <w:rPr>
          <w:rFonts w:ascii="Times New Roman" w:hAnsi="Times New Roman"/>
          <w:b w:val="0"/>
          <w:i w:val="0"/>
          <w:color w:val="14141E"/>
          <w:sz w:val="21"/>
        </w:rPr>
        <w:t>to</w:t>
      </w:r>
      <w:r>
        <w:rPr>
          <w:rFonts w:ascii="Cambria Math" w:hAnsi="Cambria Math"/>
          <w:b w:val="0"/>
          <w:i/>
          <w:color w:val="0F2864"/>
          <w:sz w:val="21"/>
        </w:rPr>
        <w:t>2190 nm</w:t>
      </w:r>
      <w:r>
        <w:rPr>
          <w:rFonts w:ascii="Times New Roman" w:hAnsi="Times New Roman"/>
          <w:b w:val="0"/>
          <w:i w:val="0"/>
          <w:color w:val="14141E"/>
          <w:sz w:val="21"/>
        </w:rPr>
        <w:t>. To capture radiative correlations without quadratic compute overhead:</w:t>
      </w:r>
    </w:p>
    <w:p>
      <w:pPr>
        <w:spacing w:before="40" w:after="60" w:line="288" w:lineRule="auto"/>
        <w:ind w:left="504" w:hanging="360"/>
      </w:pPr>
      <w:r>
        <w:rPr>
          <w:rFonts w:ascii="Times New Roman" w:hAnsi="Times New Roman"/>
          <w:b/>
          <w:i w:val="0"/>
          <w:color w:val="0F2C5F"/>
          <w:sz w:val="21"/>
        </w:rPr>
        <w:t xml:space="preserve">1. </w:t>
      </w:r>
      <w:r>
        <w:rPr>
          <w:rFonts w:ascii="Times New Roman" w:hAnsi="Times New Roman"/>
          <w:b/>
          <w:i w:val="0"/>
          <w:color w:val="14141E"/>
          <w:sz w:val="21"/>
        </w:rPr>
        <w:t>3-Node Spectral Graph Attention:</w:t>
      </w:r>
      <w:r>
        <w:rPr>
          <w:rFonts w:ascii="Times New Roman" w:hAnsi="Times New Roman"/>
          <w:b w:val="0"/>
          <w:i w:val="0"/>
          <w:color w:val="14141E"/>
          <w:sz w:val="21"/>
        </w:rPr>
        <w:t>Treats the three resolution streams as nodes in a graph, computing scaled dot-product attention to route global information between resolution groups.</w:t>
      </w:r>
    </w:p>
    <w:p>
      <w:pPr>
        <w:spacing w:before="40" w:after="60" w:line="288" w:lineRule="auto"/>
        <w:ind w:left="504" w:hanging="360"/>
      </w:pPr>
      <w:r>
        <w:rPr>
          <w:rFonts w:ascii="Times New Roman" w:hAnsi="Times New Roman"/>
          <w:b/>
          <w:i w:val="0"/>
          <w:color w:val="0F2C5F"/>
          <w:sz w:val="21"/>
        </w:rPr>
        <w:t xml:space="preserve">2. </w:t>
      </w:r>
      <w:r>
        <w:rPr>
          <w:rFonts w:ascii="Times New Roman" w:hAnsi="Times New Roman"/>
          <w:b/>
          <w:i w:val="0"/>
          <w:color w:val="14141E"/>
          <w:sz w:val="21"/>
        </w:rPr>
        <w:t>Continuous-Wavelength SpectralMamba:</w:t>
      </w:r>
      <w:r>
        <w:rPr>
          <w:rFonts w:ascii="Times New Roman" w:hAnsi="Times New Roman"/>
          <w:b w:val="0"/>
          <w:i w:val="0"/>
          <w:color w:val="14141E"/>
          <w:sz w:val="21"/>
        </w:rPr>
        <w:t>Each channel is mapped to a token conditioned on its central physical wavelength</w:t>
      </w:r>
      <w:r>
        <w:rPr>
          <w:rFonts w:ascii="Cambria Math" w:hAnsi="Cambria Math"/>
          <w:b w:val="0"/>
          <w:i/>
          <w:color w:val="0F2864"/>
          <w:sz w:val="21"/>
        </w:rPr>
        <w:t>λ_b ∈ [443, 2190] nm</w:t>
      </w:r>
      <w:r>
        <w:rPr>
          <w:rFonts w:ascii="Times New Roman" w:hAnsi="Times New Roman"/>
          <w:b w:val="0"/>
          <w:i w:val="0"/>
          <w:color w:val="14141E"/>
          <w:sz w:val="21"/>
        </w:rPr>
        <w:t>and native GSD. The sequence is processed by a 1D selective state-space scan:</w:t>
      </w:r>
    </w:p>
    <w:p>
      <w:pPr>
        <w:spacing w:before="120" w:after="120"/>
        <w:ind w:left="720" w:right="720"/>
        <w:jc w:val="center"/>
      </w:pPr>
      <w:r>
        <w:rPr>
          <w:rFonts w:ascii="Cambria Math" w:hAnsi="Cambria Math"/>
          <w:b w:val="0"/>
          <w:i/>
          <w:color w:val="0A1E50"/>
          <w:sz w:val="22"/>
        </w:rPr>
        <w:t>h_b = \barA_b h_b-1 + \barB_b x_b,    y_b = C_b h_b</w:t>
      </w:r>
    </w:p>
    <w:p>
      <w:pPr>
        <w:spacing w:before="20" w:after="60" w:line="288" w:lineRule="auto"/>
        <w:ind w:left="576"/>
      </w:pPr>
      <w:r>
        <w:rPr>
          <w:rFonts w:ascii="Times New Roman" w:hAnsi="Times New Roman"/>
          <w:b w:val="0"/>
          <w:i/>
          <w:color w:val="375578"/>
          <w:sz w:val="20"/>
        </w:rPr>
        <w:t>Intuition for CSE Students:</w:t>
      </w:r>
      <w:r>
        <w:rPr>
          <w:rFonts w:ascii="Times New Roman" w:hAnsi="Times New Roman"/>
          <w:b w:val="0"/>
          <w:i/>
          <w:color w:val="375578"/>
          <w:sz w:val="20"/>
        </w:rPr>
        <w:t>In standard RNNs, weight matrices</w:t>
      </w:r>
      <w:r>
        <w:rPr>
          <w:rFonts w:ascii="Cambria Math" w:hAnsi="Cambria Math"/>
          <w:b w:val="0"/>
          <w:i/>
          <w:color w:val="0F2864"/>
          <w:sz w:val="20"/>
        </w:rPr>
        <w:t>A, B</w:t>
      </w:r>
      <w:r>
        <w:rPr>
          <w:rFonts w:ascii="Times New Roman" w:hAnsi="Times New Roman"/>
          <w:b w:val="0"/>
          <w:i/>
          <w:color w:val="375578"/>
          <w:sz w:val="20"/>
        </w:rPr>
        <w:t>are static constants. In Mamba,</w:t>
      </w:r>
      <w:r>
        <w:rPr>
          <w:rFonts w:ascii="Cambria Math" w:hAnsi="Cambria Math"/>
          <w:b w:val="0"/>
          <w:i/>
          <w:color w:val="0F2864"/>
          <w:sz w:val="20"/>
        </w:rPr>
        <w:t>\barA_b, \barB_b</w:t>
      </w:r>
      <w:r>
        <w:rPr>
          <w:rFonts w:ascii="Times New Roman" w:hAnsi="Times New Roman"/>
          <w:b w:val="0"/>
          <w:i/>
          <w:color w:val="375578"/>
          <w:sz w:val="20"/>
        </w:rPr>
        <w:t>are dynamically calculated from the input token itself. This gives Mamba the reasoning power of attention while running in</w:t>
      </w:r>
      <w:r>
        <w:rPr>
          <w:rFonts w:ascii="Times New Roman" w:hAnsi="Times New Roman"/>
          <w:b/>
          <w:i w:val="0"/>
          <w:color w:val="375578"/>
          <w:sz w:val="20"/>
        </w:rPr>
        <w:t>strictly linear time [MATH:O(C):MATH]</w:t>
      </w:r>
      <w:r>
        <w:rPr>
          <w:rFonts w:ascii="Times New Roman" w:hAnsi="Times New Roman"/>
          <w:b w:val="0"/>
          <w:i/>
          <w:color w:val="375578"/>
          <w:sz w:val="20"/>
        </w:rPr>
        <w:t>.</w:t>
      </w:r>
    </w:p>
    <w:p>
      <w:pPr>
        <w:spacing w:before="200" w:after="60"/>
      </w:pPr>
      <w:r>
        <w:rPr>
          <w:rFonts w:ascii="Times New Roman" w:hAnsi="Times New Roman"/>
          <w:b/>
          <w:i/>
          <w:color w:val="19529C"/>
          <w:sz w:val="22"/>
        </w:rPr>
        <w:t>D. Frequency-Decoupled Spatial Processing</w:t>
      </w:r>
    </w:p>
    <w:p>
      <w:pPr>
        <w:spacing w:before="40" w:after="80" w:line="288" w:lineRule="auto"/>
        <w:jc w:val="both"/>
      </w:pPr>
      <w:r>
        <w:rPr>
          <w:rFonts w:ascii="Times New Roman" w:hAnsi="Times New Roman"/>
          <w:b w:val="0"/>
          <w:i w:val="0"/>
          <w:color w:val="14141E"/>
          <w:sz w:val="21"/>
        </w:rPr>
        <w:t>Spatial feature extraction is separated into frequency regimes:</w:t>
      </w:r>
    </w:p>
    <w:p>
      <w:pPr>
        <w:spacing w:before="40" w:after="60" w:line="288" w:lineRule="auto"/>
        <w:ind w:left="504" w:hanging="360"/>
      </w:pPr>
      <w:r>
        <w:rPr>
          <w:rFonts w:ascii="Times New Roman" w:hAnsi="Times New Roman"/>
          <w:b/>
          <w:i w:val="0"/>
          <w:color w:val="0F2C5F"/>
          <w:sz w:val="21"/>
        </w:rPr>
        <w:t xml:space="preserve">1. </w:t>
      </w:r>
      <w:r>
        <w:rPr>
          <w:rFonts w:ascii="Times New Roman" w:hAnsi="Times New Roman"/>
          <w:b/>
          <w:i w:val="0"/>
          <w:color w:val="14141E"/>
          <w:sz w:val="21"/>
        </w:rPr>
        <w:t>2D Haar Wavelet Decomposition:</w:t>
      </w:r>
      <w:r>
        <w:rPr>
          <w:rFonts w:ascii="Times New Roman" w:hAnsi="Times New Roman"/>
          <w:b w:val="0"/>
          <w:i w:val="0"/>
          <w:color w:val="14141E"/>
          <w:sz w:val="21"/>
        </w:rPr>
        <w:t>Splits spatial features into four orthogonal subbands:</w:t>
      </w:r>
    </w:p>
    <w:p>
      <w:pPr>
        <w:spacing w:before="120" w:after="120"/>
        <w:ind w:left="720" w:right="720"/>
        <w:jc w:val="center"/>
      </w:pPr>
      <w:r>
        <w:rPr>
          <w:rFonts w:ascii="Cambria Math" w:hAnsi="Cambria Math"/>
          <w:b w:val="0"/>
          <w:i/>
          <w:color w:val="0A1E50"/>
          <w:sz w:val="22"/>
        </w:rPr>
        <w:t>\LL, LH, HL, HH\ = HaarDWT2D(F_spec)</w:t>
      </w:r>
    </w:p>
    <w:p>
      <w:pPr>
        <w:spacing w:before="20" w:after="60" w:line="288" w:lineRule="auto"/>
        <w:ind w:left="576"/>
      </w:pPr>
      <w:r>
        <w:rPr>
          <w:rFonts w:ascii="Times New Roman" w:hAnsi="Times New Roman"/>
          <w:b w:val="0"/>
          <w:i/>
          <w:color w:val="375578"/>
          <w:sz w:val="20"/>
        </w:rPr>
        <w:t>where</w:t>
      </w:r>
      <w:r>
        <w:rPr>
          <w:rFonts w:ascii="Cambria Math" w:hAnsi="Cambria Math"/>
          <w:b w:val="0"/>
          <w:i/>
          <w:color w:val="0F2864"/>
          <w:sz w:val="20"/>
        </w:rPr>
        <w:t>LL</w:t>
      </w:r>
      <w:r>
        <w:rPr>
          <w:rFonts w:ascii="Times New Roman" w:hAnsi="Times New Roman"/>
          <w:b w:val="0"/>
          <w:i/>
          <w:color w:val="375578"/>
          <w:sz w:val="20"/>
        </w:rPr>
        <w:t>contains smooth structural energy, and</w:t>
      </w:r>
      <w:r>
        <w:rPr>
          <w:rFonts w:ascii="Cambria Math" w:hAnsi="Cambria Math"/>
          <w:b w:val="0"/>
          <w:i/>
          <w:color w:val="0F2864"/>
          <w:sz w:val="20"/>
        </w:rPr>
        <w:t>LH, HL, HH</w:t>
      </w:r>
      <w:r>
        <w:rPr>
          <w:rFonts w:ascii="Times New Roman" w:hAnsi="Times New Roman"/>
          <w:b w:val="0"/>
          <w:i/>
          <w:color w:val="375578"/>
          <w:sz w:val="20"/>
        </w:rPr>
        <w:t>contain horizontal, vertical, and diagonal edges.</w:t>
      </w:r>
    </w:p>
    <w:p>
      <w:pPr>
        <w:spacing w:before="40" w:after="60" w:line="288" w:lineRule="auto"/>
        <w:ind w:left="504" w:hanging="360"/>
      </w:pPr>
      <w:r>
        <w:rPr>
          <w:rFonts w:ascii="Times New Roman" w:hAnsi="Times New Roman"/>
          <w:b/>
          <w:i w:val="0"/>
          <w:color w:val="0F2C5F"/>
          <w:sz w:val="21"/>
        </w:rPr>
        <w:t xml:space="preserve">2. </w:t>
      </w:r>
      <w:r>
        <w:rPr>
          <w:rFonts w:ascii="Times New Roman" w:hAnsi="Times New Roman"/>
          <w:b/>
          <w:i w:val="0"/>
          <w:color w:val="14141E"/>
          <w:sz w:val="21"/>
        </w:rPr>
        <w:t>Low-Frequency Routing [MATH:→:MATH] 2D SpatialMamba:</w:t>
      </w:r>
      <w:r>
        <w:rPr>
          <w:rFonts w:ascii="Times New Roman" w:hAnsi="Times New Roman"/>
          <w:b w:val="0"/>
          <w:i w:val="0"/>
          <w:color w:val="14141E"/>
          <w:sz w:val="21"/>
        </w:rPr>
        <w:t>The</w:t>
      </w:r>
      <w:r>
        <w:rPr>
          <w:rFonts w:ascii="Cambria Math" w:hAnsi="Cambria Math"/>
          <w:b w:val="0"/>
          <w:i/>
          <w:color w:val="0F2864"/>
          <w:sz w:val="21"/>
        </w:rPr>
        <w:t>LL</w:t>
      </w:r>
      <w:r>
        <w:rPr>
          <w:rFonts w:ascii="Times New Roman" w:hAnsi="Times New Roman"/>
          <w:b w:val="0"/>
          <w:i w:val="0"/>
          <w:color w:val="14141E"/>
          <w:sz w:val="21"/>
        </w:rPr>
        <w:t>subband is processed via a 2D multi-direction selective scan block. By scanning across horizontal and vertical raster paths,</w:t>
      </w:r>
      <w:r>
        <w:rPr>
          <w:rFonts w:ascii="Consolas" w:hAnsi="Consolas"/>
          <w:b w:val="0"/>
          <w:i w:val="0"/>
          <w:color w:val="6432A0"/>
          <w:sz w:val="20"/>
        </w:rPr>
        <w:t>SpatialMamba</w:t>
      </w:r>
      <w:r>
        <w:rPr>
          <w:rFonts w:ascii="Times New Roman" w:hAnsi="Times New Roman"/>
          <w:b w:val="0"/>
          <w:i w:val="0"/>
          <w:color w:val="14141E"/>
          <w:sz w:val="21"/>
        </w:rPr>
        <w:t>provides a global spatial receptive field with strictly linear computational complexity</w:t>
      </w:r>
      <w:r>
        <w:rPr>
          <w:rFonts w:ascii="Cambria Math" w:hAnsi="Cambria Math"/>
          <w:b w:val="0"/>
          <w:i/>
          <w:color w:val="0F2864"/>
          <w:sz w:val="21"/>
        </w:rPr>
        <w:t>O(N)</w:t>
      </w:r>
      <w:r>
        <w:rPr>
          <w:rFonts w:ascii="Times New Roman" w:hAnsi="Times New Roman"/>
          <w:b w:val="0"/>
          <w:i w:val="0"/>
          <w:color w:val="14141E"/>
          <w:sz w:val="21"/>
        </w:rPr>
        <w:t>, avoiding the</w:t>
      </w:r>
      <w:r>
        <w:rPr>
          <w:rFonts w:ascii="Cambria Math" w:hAnsi="Cambria Math"/>
          <w:b w:val="0"/>
          <w:i/>
          <w:color w:val="0F2864"/>
          <w:sz w:val="21"/>
        </w:rPr>
        <w:t>O(N²)</w:t>
      </w:r>
      <w:r>
        <w:rPr>
          <w:rFonts w:ascii="Times New Roman" w:hAnsi="Times New Roman"/>
          <w:b w:val="0"/>
          <w:i w:val="0"/>
          <w:color w:val="14141E"/>
          <w:sz w:val="21"/>
        </w:rPr>
        <w:t>memory explosion of Transformers.</w:t>
      </w:r>
    </w:p>
    <w:p>
      <w:pPr>
        <w:spacing w:before="40" w:after="60" w:line="288" w:lineRule="auto"/>
        <w:ind w:left="504" w:hanging="360"/>
      </w:pPr>
      <w:r>
        <w:rPr>
          <w:rFonts w:ascii="Times New Roman" w:hAnsi="Times New Roman"/>
          <w:b/>
          <w:i w:val="0"/>
          <w:color w:val="0F2C5F"/>
          <w:sz w:val="21"/>
        </w:rPr>
        <w:t xml:space="preserve">3. </w:t>
      </w:r>
      <w:r>
        <w:rPr>
          <w:rFonts w:ascii="Times New Roman" w:hAnsi="Times New Roman"/>
          <w:b/>
          <w:i w:val="0"/>
          <w:color w:val="14141E"/>
          <w:sz w:val="21"/>
        </w:rPr>
        <w:t>High-Frequency Routing [MATH:→:MATH] Directional Strip Convolutions:</w:t>
      </w:r>
      <w:r>
        <w:rPr>
          <w:rFonts w:ascii="Times New Roman" w:hAnsi="Times New Roman"/>
          <w:b w:val="0"/>
          <w:i w:val="0"/>
          <w:color w:val="14141E"/>
          <w:sz w:val="21"/>
        </w:rPr>
        <w:t>The edge subbands</w:t>
      </w:r>
      <w:r>
        <w:rPr>
          <w:rFonts w:ascii="Cambria Math" w:hAnsi="Cambria Math"/>
          <w:b w:val="0"/>
          <w:i/>
          <w:color w:val="0F2864"/>
          <w:sz w:val="21"/>
        </w:rPr>
        <w:t>(LH, HL, HH)</w:t>
      </w:r>
      <w:r>
        <w:rPr>
          <w:rFonts w:ascii="Times New Roman" w:hAnsi="Times New Roman"/>
          <w:b w:val="0"/>
          <w:i w:val="0"/>
          <w:color w:val="14141E"/>
          <w:sz w:val="21"/>
        </w:rPr>
        <w:t>are processed by asymmetric strip convolutions (</w:t>
      </w:r>
      <w:r>
        <w:rPr>
          <w:rFonts w:ascii="Cambria Math" w:hAnsi="Cambria Math"/>
          <w:b w:val="0"/>
          <w:i/>
          <w:color w:val="0F2864"/>
          <w:sz w:val="21"/>
        </w:rPr>
        <w:t>1×7</w:t>
      </w:r>
      <w:r>
        <w:rPr>
          <w:rFonts w:ascii="Times New Roman" w:hAnsi="Times New Roman"/>
          <w:b w:val="0"/>
          <w:i w:val="0"/>
          <w:color w:val="14141E"/>
          <w:sz w:val="21"/>
        </w:rPr>
        <w:t>and</w:t>
      </w:r>
      <w:r>
        <w:rPr>
          <w:rFonts w:ascii="Cambria Math" w:hAnsi="Cambria Math"/>
          <w:b w:val="0"/>
          <w:i/>
          <w:color w:val="0F2864"/>
          <w:sz w:val="21"/>
        </w:rPr>
        <w:t>7×1</w:t>
      </w:r>
      <w:r>
        <w:rPr>
          <w:rFonts w:ascii="Times New Roman" w:hAnsi="Times New Roman"/>
          <w:b w:val="0"/>
          <w:i w:val="0"/>
          <w:color w:val="14141E"/>
          <w:sz w:val="21"/>
        </w:rPr>
        <w:t>kernels) and Non-linear Activation Free (</w:t>
      </w:r>
      <w:r>
        <w:rPr>
          <w:rFonts w:ascii="Consolas" w:hAnsi="Consolas"/>
          <w:b w:val="0"/>
          <w:i w:val="0"/>
          <w:color w:val="6432A0"/>
          <w:sz w:val="20"/>
        </w:rPr>
        <w:t>NAF</w:t>
      </w:r>
      <w:r>
        <w:rPr>
          <w:rFonts w:ascii="Times New Roman" w:hAnsi="Times New Roman"/>
          <w:b w:val="0"/>
          <w:i w:val="0"/>
          <w:color w:val="14141E"/>
          <w:sz w:val="21"/>
        </w:rPr>
        <w:t>) residual blocks, explicitly tracing linear features like roads, field edges, and canals.</w:t>
      </w:r>
    </w:p>
    <w:p>
      <w:pPr>
        <w:spacing w:before="40" w:after="60" w:line="288" w:lineRule="auto"/>
        <w:ind w:left="504" w:hanging="360"/>
      </w:pPr>
      <w:r>
        <w:rPr>
          <w:rFonts w:ascii="Times New Roman" w:hAnsi="Times New Roman"/>
          <w:b/>
          <w:i w:val="0"/>
          <w:color w:val="0F2C5F"/>
          <w:sz w:val="21"/>
        </w:rPr>
        <w:t xml:space="preserve">4. </w:t>
      </w:r>
      <w:r>
        <w:rPr>
          <w:rFonts w:ascii="Times New Roman" w:hAnsi="Times New Roman"/>
          <w:b/>
          <w:i w:val="0"/>
          <w:color w:val="14141E"/>
          <w:sz w:val="21"/>
        </w:rPr>
        <w:t>Wavelet Synthesis:</w:t>
      </w:r>
      <w:r>
        <w:rPr>
          <w:rFonts w:ascii="Times New Roman" w:hAnsi="Times New Roman"/>
          <w:b w:val="0"/>
          <w:i w:val="0"/>
          <w:color w:val="14141E"/>
          <w:sz w:val="21"/>
        </w:rPr>
        <w:t>The subbands are recombined via the Inverse Haar Discrete Wavelet Transform (</w:t>
      </w:r>
      <w:r>
        <w:rPr>
          <w:rFonts w:ascii="Consolas" w:hAnsi="Consolas"/>
          <w:b w:val="0"/>
          <w:i w:val="0"/>
          <w:color w:val="6432A0"/>
          <w:sz w:val="20"/>
        </w:rPr>
        <w:t>IDWT2D</w:t>
      </w:r>
      <w:r>
        <w:rPr>
          <w:rFonts w:ascii="Times New Roman" w:hAnsi="Times New Roman"/>
          <w:b w:val="0"/>
          <w:i w:val="0"/>
          <w:color w:val="14141E"/>
          <w:sz w:val="21"/>
        </w:rPr>
        <w:t>), losslessly reconstructing the spatial feature map.</w:t>
      </w:r>
    </w:p>
    <w:p>
      <w:pPr>
        <w:spacing w:before="200" w:after="60"/>
      </w:pPr>
      <w:r>
        <w:rPr>
          <w:rFonts w:ascii="Times New Roman" w:hAnsi="Times New Roman"/>
          <w:b/>
          <w:i/>
          <w:color w:val="19529C"/>
          <w:sz w:val="22"/>
        </w:rPr>
        <w:t>E. Dual Reconstruction and Uncertainty Heads</w:t>
      </w:r>
    </w:p>
    <w:p>
      <w:pPr>
        <w:spacing w:before="40" w:after="80" w:line="288" w:lineRule="auto"/>
        <w:jc w:val="both"/>
      </w:pPr>
      <w:r>
        <w:rPr>
          <w:rFonts w:ascii="Times New Roman" w:hAnsi="Times New Roman"/>
          <w:b w:val="0"/>
          <w:i w:val="0"/>
          <w:color w:val="14141E"/>
          <w:sz w:val="21"/>
        </w:rPr>
        <w:t>Synthesized features are upscaled to</w:t>
      </w:r>
      <w:r>
        <w:rPr>
          <w:rFonts w:ascii="Cambria Math" w:hAnsi="Cambria Math"/>
          <w:b w:val="0"/>
          <w:i/>
          <w:color w:val="0F2864"/>
          <w:sz w:val="21"/>
        </w:rPr>
        <w:t>2.5 m</w:t>
      </w:r>
      <w:r>
        <w:rPr>
          <w:rFonts w:ascii="Times New Roman" w:hAnsi="Times New Roman"/>
          <w:b w:val="0"/>
          <w:i w:val="0"/>
          <w:color w:val="14141E"/>
          <w:sz w:val="21"/>
        </w:rPr>
        <w:t>resolution through two progressive</w:t>
      </w:r>
      <w:r>
        <w:rPr>
          <w:rFonts w:ascii="Cambria Math" w:hAnsi="Cambria Math"/>
          <w:b w:val="0"/>
          <w:i/>
          <w:color w:val="0F2864"/>
          <w:sz w:val="21"/>
        </w:rPr>
        <w:t>2×</w:t>
      </w:r>
      <w:r>
        <w:rPr>
          <w:rFonts w:ascii="Times New Roman" w:hAnsi="Times New Roman"/>
          <w:b w:val="0"/>
          <w:i w:val="0"/>
          <w:color w:val="14141E"/>
          <w:sz w:val="21"/>
        </w:rPr>
        <w:t>PixelShuffle stages. The network branches into dual output heads:</w:t>
      </w:r>
    </w:p>
    <w:p>
      <w:pPr>
        <w:spacing w:before="20" w:after="40" w:line="288" w:lineRule="auto"/>
        <w:ind w:left="432" w:hanging="288"/>
      </w:pPr>
      <w:r>
        <w:rPr>
          <w:rFonts w:ascii="Times New Roman" w:hAnsi="Times New Roman"/>
          <w:b/>
          <w:i w:val="0"/>
          <w:color w:val="19529C"/>
          <w:sz w:val="21"/>
        </w:rPr>
        <w:t xml:space="preserve">• </w:t>
      </w:r>
      <w:r>
        <w:rPr>
          <w:rFonts w:ascii="Times New Roman" w:hAnsi="Times New Roman"/>
          <w:b/>
          <w:i w:val="0"/>
          <w:color w:val="14141E"/>
          <w:sz w:val="21"/>
        </w:rPr>
        <w:t>Predictive Mean Head ([MATH:μ:MATH]):</w:t>
      </w:r>
      <w:r>
        <w:rPr>
          <w:rFonts w:ascii="Times New Roman" w:hAnsi="Times New Roman"/>
          <w:b w:val="0"/>
          <w:i w:val="0"/>
          <w:color w:val="14141E"/>
          <w:sz w:val="21"/>
        </w:rPr>
        <w:t>Reconstructs the 12-band super-resolved surface reflectance:</w:t>
      </w:r>
    </w:p>
    <w:p>
      <w:pPr>
        <w:spacing w:before="120" w:after="120"/>
        <w:ind w:left="720" w:right="720"/>
        <w:jc w:val="center"/>
      </w:pPr>
      <w:r>
        <w:rPr>
          <w:rFonts w:ascii="Cambria Math" w:hAnsi="Cambria Math"/>
          <w:b w:val="0"/>
          <w:i/>
          <w:color w:val="0A1E50"/>
          <w:sz w:val="22"/>
        </w:rPr>
        <w:t>μ = W_μ \ast F_up + X_bilinear^↑</w:t>
      </w:r>
    </w:p>
    <w:p>
      <w:pPr>
        <w:spacing w:before="40" w:after="80" w:line="288" w:lineRule="auto"/>
        <w:jc w:val="both"/>
      </w:pPr>
      <w:r>
        <w:rPr>
          <w:rFonts w:ascii="Times New Roman" w:hAnsi="Times New Roman"/>
          <w:b w:val="0"/>
          <w:i w:val="0"/>
          <w:color w:val="14141E"/>
          <w:sz w:val="21"/>
        </w:rPr>
        <w:t>where a global bilinear skip connection preserves baseline low-frequency radiometry.</w:t>
      </w:r>
    </w:p>
    <w:p>
      <w:pPr>
        <w:spacing w:before="20" w:after="40" w:line="288" w:lineRule="auto"/>
        <w:ind w:left="432" w:hanging="288"/>
      </w:pPr>
      <w:r>
        <w:rPr>
          <w:rFonts w:ascii="Times New Roman" w:hAnsi="Times New Roman"/>
          <w:b/>
          <w:i w:val="0"/>
          <w:color w:val="19529C"/>
          <w:sz w:val="21"/>
        </w:rPr>
        <w:t xml:space="preserve">• </w:t>
      </w:r>
      <w:r>
        <w:rPr>
          <w:rFonts w:ascii="Times New Roman" w:hAnsi="Times New Roman"/>
          <w:b/>
          <w:i w:val="0"/>
          <w:color w:val="14141E"/>
          <w:sz w:val="21"/>
        </w:rPr>
        <w:t>Aleatoric Uncertainty Head ([MATH:log σ²:MATH]):</w:t>
      </w:r>
      <w:r>
        <w:rPr>
          <w:rFonts w:ascii="Times New Roman" w:hAnsi="Times New Roman"/>
          <w:b w:val="0"/>
          <w:i w:val="0"/>
          <w:color w:val="14141E"/>
          <w:sz w:val="21"/>
        </w:rPr>
        <w:t>Predicts the per-pixel log-variance</w:t>
      </w:r>
      <w:r>
        <w:rPr>
          <w:rFonts w:ascii="Cambria Math" w:hAnsi="Cambria Math"/>
          <w:b w:val="0"/>
          <w:i/>
          <w:color w:val="0F2864"/>
          <w:sz w:val="21"/>
        </w:rPr>
        <w:t>s = log σ²</w:t>
      </w:r>
      <w:r>
        <w:rPr>
          <w:rFonts w:ascii="Times New Roman" w:hAnsi="Times New Roman"/>
          <w:b w:val="0"/>
          <w:i w:val="0"/>
          <w:color w:val="14141E"/>
          <w:sz w:val="21"/>
        </w:rPr>
        <w:t>, clamped to</w:t>
      </w:r>
      <w:r>
        <w:rPr>
          <w:rFonts w:ascii="Cambria Math" w:hAnsi="Cambria Math"/>
          <w:b w:val="0"/>
          <w:i/>
          <w:color w:val="0F2864"/>
          <w:sz w:val="21"/>
        </w:rPr>
        <w:t>[-10, 5]</w:t>
      </w:r>
      <w:r>
        <w:rPr>
          <w:rFonts w:ascii="Times New Roman" w:hAnsi="Times New Roman"/>
          <w:b w:val="0"/>
          <w:i w:val="0"/>
          <w:color w:val="14141E"/>
          <w:sz w:val="21"/>
        </w:rPr>
        <w:t>for numerical stability:</w:t>
      </w:r>
    </w:p>
    <w:p>
      <w:pPr>
        <w:spacing w:before="120" w:after="120"/>
        <w:ind w:left="720" w:right="720"/>
        <w:jc w:val="center"/>
      </w:pPr>
      <w:r>
        <w:rPr>
          <w:rFonts w:ascii="Cambria Math" w:hAnsi="Cambria Math"/>
          <w:b w:val="0"/>
          <w:i/>
          <w:color w:val="0A1E50"/>
          <w:sz w:val="22"/>
        </w:rPr>
        <w:t>s = clamp(W_σ \ast F_up, -10, 5)</w:t>
      </w:r>
    </w:p>
    <w:p>
      <w:pPr>
        <w:spacing w:before="200" w:after="60"/>
      </w:pPr>
      <w:r>
        <w:rPr>
          <w:rFonts w:ascii="Times New Roman" w:hAnsi="Times New Roman"/>
          <w:b/>
          <w:i/>
          <w:color w:val="19529C"/>
          <w:sz w:val="22"/>
        </w:rPr>
        <w:t>F. Physics-Informed Training Objectives</w:t>
      </w:r>
    </w:p>
    <w:p>
      <w:pPr>
        <w:spacing w:before="40" w:after="80" w:line="288" w:lineRule="auto"/>
        <w:jc w:val="both"/>
      </w:pPr>
      <w:r>
        <w:rPr>
          <w:rFonts w:ascii="Times New Roman" w:hAnsi="Times New Roman"/>
          <w:b w:val="0"/>
          <w:i w:val="0"/>
          <w:color w:val="14141E"/>
          <w:sz w:val="21"/>
        </w:rPr>
        <w:t>The network is optimized end-to-end under four complementary loss functions:</w:t>
      </w:r>
    </w:p>
    <w:p>
      <w:pPr>
        <w:spacing w:before="40" w:after="60" w:line="288" w:lineRule="auto"/>
        <w:ind w:left="504" w:hanging="360"/>
      </w:pPr>
      <w:r>
        <w:rPr>
          <w:rFonts w:ascii="Times New Roman" w:hAnsi="Times New Roman"/>
          <w:b/>
          <w:i w:val="0"/>
          <w:color w:val="0F2C5F"/>
          <w:sz w:val="21"/>
        </w:rPr>
        <w:t xml:space="preserve">1. </w:t>
      </w:r>
      <w:r>
        <w:rPr>
          <w:rFonts w:ascii="Times New Roman" w:hAnsi="Times New Roman"/>
          <w:b/>
          <w:i w:val="0"/>
          <w:color w:val="14141E"/>
          <w:sz w:val="21"/>
        </w:rPr>
        <w:t>Heteroscedastic Gaussian Negative Log-Likelihood Loss:</w:t>
      </w:r>
    </w:p>
    <w:p>
      <w:pPr>
        <w:spacing w:before="120" w:after="120"/>
        <w:ind w:left="720" w:right="720"/>
        <w:jc w:val="center"/>
      </w:pPr>
      <w:r>
        <w:rPr>
          <w:rFonts w:ascii="Cambria Math" w:hAnsi="Cambria Math"/>
          <w:b w:val="0"/>
          <w:i/>
          <w:color w:val="0A1E50"/>
          <w:sz w:val="22"/>
        </w:rPr>
        <w:t>ℒ_hetero = (1)/(2 B Ω) Σ_b=1^B Σ_i ∈ Ω ≤ft( exp(-s_b,i) | y_b,i - μ_b,i | + s_b,i )</w:t>
      </w:r>
    </w:p>
    <w:p>
      <w:pPr>
        <w:spacing w:before="20" w:after="60" w:line="288" w:lineRule="auto"/>
        <w:ind w:left="576"/>
      </w:pPr>
      <w:r>
        <w:rPr>
          <w:rFonts w:ascii="Times New Roman" w:hAnsi="Times New Roman"/>
          <w:b w:val="0"/>
          <w:i/>
          <w:color w:val="375578"/>
          <w:sz w:val="20"/>
        </w:rPr>
        <w:t>Intuition for CSE Students:</w:t>
      </w:r>
      <w:r>
        <w:rPr>
          <w:rFonts w:ascii="Times New Roman" w:hAnsi="Times New Roman"/>
          <w:b w:val="0"/>
          <w:i/>
          <w:color w:val="375578"/>
          <w:sz w:val="20"/>
        </w:rPr>
        <w:t>If an edge or cloud boundary is inherently ambiguous, the model increases variance</w:t>
      </w:r>
      <w:r>
        <w:rPr>
          <w:rFonts w:ascii="Cambria Math" w:hAnsi="Cambria Math"/>
          <w:b w:val="0"/>
          <w:i/>
          <w:color w:val="0F2864"/>
          <w:sz w:val="20"/>
        </w:rPr>
        <w:t>s_b,i</w:t>
      </w:r>
      <w:r>
        <w:rPr>
          <w:rFonts w:ascii="Times New Roman" w:hAnsi="Times New Roman"/>
          <w:b w:val="0"/>
          <w:i/>
          <w:color w:val="375578"/>
          <w:sz w:val="20"/>
        </w:rPr>
        <w:t>to soften the error penalty. Meanwhile, the second term</w:t>
      </w:r>
      <w:r>
        <w:rPr>
          <w:rFonts w:ascii="Cambria Math" w:hAnsi="Cambria Math"/>
          <w:b w:val="0"/>
          <w:i/>
          <w:color w:val="0F2864"/>
          <w:sz w:val="20"/>
        </w:rPr>
        <w:t>+s_b,i</w:t>
      </w:r>
      <w:r>
        <w:rPr>
          <w:rFonts w:ascii="Times New Roman" w:hAnsi="Times New Roman"/>
          <w:b w:val="0"/>
          <w:i/>
          <w:color w:val="375578"/>
          <w:sz w:val="20"/>
        </w:rPr>
        <w:t>prevents the model from cheating by outputting infinite uncertainty everywhere.</w:t>
      </w:r>
    </w:p>
    <w:p>
      <w:pPr>
        <w:spacing w:before="40" w:after="60" w:line="288" w:lineRule="auto"/>
        <w:ind w:left="504" w:hanging="360"/>
      </w:pPr>
      <w:r>
        <w:rPr>
          <w:rFonts w:ascii="Times New Roman" w:hAnsi="Times New Roman"/>
          <w:b/>
          <w:i w:val="0"/>
          <w:color w:val="0F2C5F"/>
          <w:sz w:val="21"/>
        </w:rPr>
        <w:t xml:space="preserve">2. </w:t>
      </w:r>
      <w:r>
        <w:rPr>
          <w:rFonts w:ascii="Times New Roman" w:hAnsi="Times New Roman"/>
          <w:b/>
          <w:i w:val="0"/>
          <w:color w:val="14141E"/>
          <w:sz w:val="21"/>
        </w:rPr>
        <w:t>Sensor MTF (Optical Degradation) Loss:</w:t>
      </w:r>
    </w:p>
    <w:p>
      <w:pPr>
        <w:spacing w:before="120" w:after="120"/>
        <w:ind w:left="720" w:right="720"/>
        <w:jc w:val="center"/>
      </w:pPr>
      <w:r>
        <w:rPr>
          <w:rFonts w:ascii="Cambria Math" w:hAnsi="Cambria Math"/>
          <w:b w:val="0"/>
          <w:i/>
          <w:color w:val="0A1E50"/>
          <w:sz w:val="22"/>
        </w:rPr>
        <w:t>ℒ_MTF = (1)/(B) Σ_b=1^B ‖ D_4(k_PSF \ast μ_b) - x_b,LR ‖_1</w:t>
      </w:r>
    </w:p>
    <w:p>
      <w:pPr>
        <w:spacing w:before="20" w:after="60" w:line="288" w:lineRule="auto"/>
        <w:ind w:left="576"/>
      </w:pPr>
      <w:r>
        <w:rPr>
          <w:rFonts w:ascii="Times New Roman" w:hAnsi="Times New Roman"/>
          <w:b w:val="0"/>
          <w:i/>
          <w:color w:val="375578"/>
          <w:sz w:val="20"/>
        </w:rPr>
        <w:t>Physics Cycle-Consistency Check:</w:t>
      </w:r>
      <w:r>
        <w:rPr>
          <w:rFonts w:ascii="Times New Roman" w:hAnsi="Times New Roman"/>
          <w:b w:val="0"/>
          <w:i/>
          <w:color w:val="375578"/>
          <w:sz w:val="20"/>
        </w:rPr>
        <w:t>If we blur our super-resolved</w:t>
      </w:r>
      <w:r>
        <w:rPr>
          <w:rFonts w:ascii="Cambria Math" w:hAnsi="Cambria Math"/>
          <w:b w:val="0"/>
          <w:i/>
          <w:color w:val="0F2864"/>
          <w:sz w:val="20"/>
        </w:rPr>
        <w:t>2.5 m</w:t>
      </w:r>
      <w:r>
        <w:rPr>
          <w:rFonts w:ascii="Times New Roman" w:hAnsi="Times New Roman"/>
          <w:b w:val="0"/>
          <w:i/>
          <w:color w:val="375578"/>
          <w:sz w:val="20"/>
        </w:rPr>
        <w:t>output with the camera's optical Point Spread Function (</w:t>
      </w:r>
      <w:r>
        <w:rPr>
          <w:rFonts w:ascii="Cambria Math" w:hAnsi="Cambria Math"/>
          <w:b w:val="0"/>
          <w:i/>
          <w:color w:val="0F2864"/>
          <w:sz w:val="20"/>
        </w:rPr>
        <w:t>k_PSF</w:t>
      </w:r>
      <w:r>
        <w:rPr>
          <w:rFonts w:ascii="Times New Roman" w:hAnsi="Times New Roman"/>
          <w:b w:val="0"/>
          <w:i/>
          <w:color w:val="375578"/>
          <w:sz w:val="20"/>
        </w:rPr>
        <w:t>, Gaussian</w:t>
      </w:r>
      <w:r>
        <w:rPr>
          <w:rFonts w:ascii="Cambria Math" w:hAnsi="Cambria Math"/>
          <w:b w:val="0"/>
          <w:i/>
          <w:color w:val="0F2864"/>
          <w:sz w:val="20"/>
        </w:rPr>
        <w:t>σ=1.2</w:t>
      </w:r>
      <w:r>
        <w:rPr>
          <w:rFonts w:ascii="Times New Roman" w:hAnsi="Times New Roman"/>
          <w:b w:val="0"/>
          <w:i/>
          <w:color w:val="375578"/>
          <w:sz w:val="20"/>
        </w:rPr>
        <w:t>) and downsample it back to native resolution, it</w:t>
      </w:r>
      <w:r>
        <w:rPr>
          <w:rFonts w:ascii="Times New Roman" w:hAnsi="Times New Roman"/>
          <w:b/>
          <w:i w:val="0"/>
          <w:color w:val="375578"/>
          <w:sz w:val="20"/>
        </w:rPr>
        <w:t>must match the raw satellite observation</w:t>
      </w:r>
      <w:r>
        <w:rPr>
          <w:rFonts w:ascii="Times New Roman" w:hAnsi="Times New Roman"/>
          <w:b w:val="0"/>
          <w:i/>
          <w:color w:val="375578"/>
          <w:sz w:val="20"/>
        </w:rPr>
        <w:t>. This prevents the model from hallucinating fake terrain features.</w:t>
      </w:r>
    </w:p>
    <w:p>
      <w:pPr>
        <w:spacing w:before="40" w:after="60" w:line="288" w:lineRule="auto"/>
        <w:ind w:left="504" w:hanging="360"/>
      </w:pPr>
      <w:r>
        <w:rPr>
          <w:rFonts w:ascii="Times New Roman" w:hAnsi="Times New Roman"/>
          <w:b/>
          <w:i w:val="0"/>
          <w:color w:val="0F2C5F"/>
          <w:sz w:val="21"/>
        </w:rPr>
        <w:t xml:space="preserve">3. </w:t>
      </w:r>
      <w:r>
        <w:rPr>
          <w:rFonts w:ascii="Times New Roman" w:hAnsi="Times New Roman"/>
          <w:b/>
          <w:i w:val="0"/>
          <w:color w:val="14141E"/>
          <w:sz w:val="21"/>
        </w:rPr>
        <w:t>Shifted-Window Edge Loss ([MATH:ℒ_SW:MATH]):</w:t>
      </w:r>
      <w:r>
        <w:rPr>
          <w:rFonts w:ascii="Times New Roman" w:hAnsi="Times New Roman"/>
          <w:b w:val="0"/>
          <w:i w:val="0"/>
          <w:color w:val="14141E"/>
          <w:sz w:val="21"/>
        </w:rPr>
        <w:t>Accommodates sub-pixel sensor co-registration offsets (</w:t>
      </w:r>
      <w:r>
        <w:rPr>
          <w:rFonts w:ascii="Cambria Math" w:hAnsi="Cambria Math"/>
          <w:b w:val="0"/>
          <w:i/>
          <w:color w:val="0F2864"/>
          <w:sz w:val="21"/>
        </w:rPr>
        <w:t>± 1 pixel</w:t>
      </w:r>
      <w:r>
        <w:rPr>
          <w:rFonts w:ascii="Times New Roman" w:hAnsi="Times New Roman"/>
          <w:b w:val="0"/>
          <w:i w:val="0"/>
          <w:color w:val="14141E"/>
          <w:sz w:val="21"/>
        </w:rPr>
        <w:t>) using a localized minimum-residual search combined with Sobel gradient matching (</w:t>
      </w:r>
      <w:r>
        <w:rPr>
          <w:rFonts w:ascii="Cambria Math" w:hAnsi="Cambria Math"/>
          <w:b w:val="0"/>
          <w:i/>
          <w:color w:val="0F2864"/>
          <w:sz w:val="21"/>
        </w:rPr>
        <w:t>∇_x, ∇_y</w:t>
      </w:r>
      <w:r>
        <w:rPr>
          <w:rFonts w:ascii="Times New Roman" w:hAnsi="Times New Roman"/>
          <w:b w:val="0"/>
          <w:i w:val="0"/>
          <w:color w:val="14141E"/>
          <w:sz w:val="21"/>
        </w:rPr>
        <w:t>).</w:t>
      </w:r>
    </w:p>
    <w:p>
      <w:pPr>
        <w:spacing w:before="40" w:after="60" w:line="288" w:lineRule="auto"/>
        <w:ind w:left="504" w:hanging="360"/>
      </w:pPr>
      <w:r>
        <w:rPr>
          <w:rFonts w:ascii="Times New Roman" w:hAnsi="Times New Roman"/>
          <w:b/>
          <w:i w:val="0"/>
          <w:color w:val="0F2C5F"/>
          <w:sz w:val="21"/>
        </w:rPr>
        <w:t xml:space="preserve">4. </w:t>
      </w:r>
      <w:r>
        <w:rPr>
          <w:rFonts w:ascii="Times New Roman" w:hAnsi="Times New Roman"/>
          <w:b/>
          <w:i w:val="0"/>
          <w:color w:val="14141E"/>
          <w:sz w:val="21"/>
        </w:rPr>
        <w:t>Spectral Angle Mapper (SAM) Loss:</w:t>
      </w:r>
      <w:r>
        <w:rPr>
          <w:rFonts w:ascii="Times New Roman" w:hAnsi="Times New Roman"/>
          <w:b w:val="0"/>
          <w:i w:val="0"/>
          <w:color w:val="14141E"/>
          <w:sz w:val="21"/>
        </w:rPr>
        <w:t>Enforces angular vector alignment across all 12 bands to eliminate color and spectral distortion:</w:t>
      </w:r>
    </w:p>
    <w:p>
      <w:pPr>
        <w:spacing w:before="120" w:after="120"/>
        <w:ind w:left="720" w:right="720"/>
        <w:jc w:val="center"/>
      </w:pPr>
      <w:r>
        <w:rPr>
          <w:rFonts w:ascii="Cambria Math" w:hAnsi="Cambria Math"/>
          <w:b w:val="0"/>
          <w:i/>
          <w:color w:val="0A1E50"/>
          <w:sz w:val="22"/>
        </w:rPr>
        <w:t>ℒ_SAM = (1)/(Ω) Σ_i ∈ Ω arccos≤ft( \fracμ_i^ᵀ y_i‖ μ_i ‖_2   ‖ y_i ‖_2 + ε )</w:t>
      </w:r>
    </w:p>
    <w:p>
      <w:pPr>
        <w:spacing w:before="40" w:after="60" w:line="288" w:lineRule="auto"/>
        <w:ind w:left="504" w:hanging="360"/>
      </w:pPr>
      <w:r>
        <w:rPr>
          <w:rFonts w:ascii="Times New Roman" w:hAnsi="Times New Roman"/>
          <w:b/>
          <w:i w:val="0"/>
          <w:color w:val="0F2C5F"/>
          <w:sz w:val="21"/>
        </w:rPr>
        <w:t xml:space="preserve">5. </w:t>
      </w:r>
      <w:r>
        <w:rPr>
          <w:rFonts w:ascii="Times New Roman" w:hAnsi="Times New Roman"/>
          <w:b/>
          <w:i w:val="0"/>
          <w:color w:val="14141E"/>
          <w:sz w:val="21"/>
        </w:rPr>
        <w:t>Total Training Objective:</w:t>
      </w:r>
    </w:p>
    <w:p>
      <w:pPr>
        <w:spacing w:before="120" w:after="120"/>
        <w:ind w:left="720" w:right="720"/>
        <w:jc w:val="center"/>
      </w:pPr>
      <w:r>
        <w:rPr>
          <w:rFonts w:ascii="Cambria Math" w:hAnsi="Cambria Math"/>
          <w:b w:val="0"/>
          <w:i/>
          <w:color w:val="0A1E50"/>
          <w:sz w:val="22"/>
        </w:rPr>
        <w:t>ℒ_total = ℒ_hetero + λ_MTF ℒ_MTF + λ_SW ℒ_SW + λ_SAM ℒ_SAM</w:t>
      </w:r>
    </w:p>
    <w:p>
      <w:pPr>
        <w:spacing w:before="20" w:after="60" w:line="288" w:lineRule="auto"/>
        <w:ind w:left="576"/>
      </w:pPr>
      <w:r>
        <w:rPr>
          <w:rFonts w:ascii="Times New Roman" w:hAnsi="Times New Roman"/>
          <w:b w:val="0"/>
          <w:i/>
          <w:color w:val="375578"/>
          <w:sz w:val="20"/>
        </w:rPr>
        <w:t>configured with weights</w:t>
      </w:r>
      <w:r>
        <w:rPr>
          <w:rFonts w:ascii="Cambria Math" w:hAnsi="Cambria Math"/>
          <w:b w:val="0"/>
          <w:i/>
          <w:color w:val="0F2864"/>
          <w:sz w:val="20"/>
        </w:rPr>
        <w:t>λ_MTF = 0.1</w:t>
      </w:r>
      <w:r>
        <w:rPr>
          <w:rFonts w:ascii="Times New Roman" w:hAnsi="Times New Roman"/>
          <w:b w:val="0"/>
          <w:i/>
          <w:color w:val="375578"/>
          <w:sz w:val="20"/>
        </w:rPr>
        <w:t>,</w:t>
      </w:r>
      <w:r>
        <w:rPr>
          <w:rFonts w:ascii="Cambria Math" w:hAnsi="Cambria Math"/>
          <w:b w:val="0"/>
          <w:i/>
          <w:color w:val="0F2864"/>
          <w:sz w:val="20"/>
        </w:rPr>
        <w:t>λ_SW = 1.0</w:t>
      </w:r>
      <w:r>
        <w:rPr>
          <w:rFonts w:ascii="Times New Roman" w:hAnsi="Times New Roman"/>
          <w:b w:val="0"/>
          <w:i/>
          <w:color w:val="375578"/>
          <w:sz w:val="20"/>
        </w:rPr>
        <w:t>, and</w:t>
      </w:r>
      <w:r>
        <w:rPr>
          <w:rFonts w:ascii="Cambria Math" w:hAnsi="Cambria Math"/>
          <w:b w:val="0"/>
          <w:i/>
          <w:color w:val="0F2864"/>
          <w:sz w:val="20"/>
        </w:rPr>
        <w:t>λ_SAM = 0.05</w:t>
      </w:r>
      <w:r>
        <w:rPr>
          <w:rFonts w:ascii="Times New Roman" w:hAnsi="Times New Roman"/>
          <w:b w:val="0"/>
          <w:i/>
          <w:color w:val="375578"/>
          <w:sz w:val="20"/>
        </w:rPr>
        <w:t>.</w:t>
      </w:r>
    </w:p>
    <w:p>
      <w:pPr>
        <w:keepNext/>
        <w:spacing w:before="2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15508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SpecWave_Mamba_UQ_Training_Curriculu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50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Times New Roman" w:hAnsi="Times New Roman"/>
          <w:b/>
          <w:i w:val="0"/>
          <w:color w:val="5A5A6E"/>
          <w:sz w:val="19"/>
        </w:rPr>
        <w:t>Figure 2:</w:t>
      </w:r>
      <w:r>
        <w:rPr>
          <w:rFonts w:ascii="Times New Roman" w:hAnsi="Times New Roman"/>
          <w:b w:val="0"/>
          <w:i/>
          <w:color w:val="5A5A6E"/>
          <w:sz w:val="19"/>
        </w:rPr>
      </w:r>
      <w:r>
        <w:rPr>
          <w:rFonts w:ascii="Times New Roman" w:hAnsi="Times New Roman"/>
          <w:b w:val="0"/>
          <w:i/>
          <w:color w:val="5A5A6E"/>
          <w:sz w:val="19"/>
        </w:rPr>
        <w:t>Multi-Stage Knowledge Distillation and Training Curriculum. Demonstrates the distillation pipeline where the 4-band OpenSR-SRGAN teacher guides the 12-band student via Shifted-Window Charbonnier and Sobel gradient losses, combined with end-to-end sensor MTF degradation and heteroscedastic uncertainty optimization.</w:t>
      </w:r>
    </w:p>
    <w:p>
      <w:pPr>
        <w:spacing w:before="160" w:after="160"/>
        <w:pBdr>
          <w:bottom w:val="single" w:sz="6" w:space="1" w:color="AAAAAA"/>
        </w:pBdr>
      </w:pPr>
    </w:p>
    <w:p>
      <w:pPr>
        <w:spacing w:before="280" w:after="80"/>
        <w:pBdr>
          <w:bottom w:val="single" w:sz="6" w:space="1" w:color="1B365D"/>
        </w:pBdr>
      </w:pPr>
      <w:r>
        <w:rPr>
          <w:rFonts w:ascii="Times New Roman" w:hAnsi="Times New Roman"/>
          <w:b/>
          <w:i w:val="0"/>
          <w:color w:val="0F2C5F"/>
          <w:sz w:val="23"/>
        </w:rPr>
        <w:t>IV. EXPERIMENTS &amp; RESULTS</w:t>
      </w:r>
    </w:p>
    <w:p>
      <w:pPr>
        <w:spacing w:before="200" w:after="60"/>
      </w:pPr>
      <w:r>
        <w:rPr>
          <w:rFonts w:ascii="Times New Roman" w:hAnsi="Times New Roman"/>
          <w:b/>
          <w:i/>
          <w:color w:val="19529C"/>
          <w:sz w:val="22"/>
        </w:rPr>
        <w:t>A. Datasets &amp; Geographic Benchmark Regions</w:t>
      </w:r>
    </w:p>
    <w:p>
      <w:pPr>
        <w:spacing w:before="40" w:after="80" w:line="288" w:lineRule="auto"/>
        <w:jc w:val="both"/>
      </w:pPr>
      <w:r>
        <w:rPr>
          <w:rFonts w:ascii="Times New Roman" w:hAnsi="Times New Roman"/>
          <w:b w:val="0"/>
          <w:i w:val="0"/>
          <w:color w:val="14141E"/>
          <w:sz w:val="21"/>
        </w:rPr>
        <w:t>We evaluate TriSpecWaveMambaUQ on two complementary datasets spanning diverse agro-urban and high-altitude terrains:</w:t>
      </w:r>
    </w:p>
    <w:p>
      <w:pPr>
        <w:spacing w:before="40" w:after="60" w:line="288" w:lineRule="auto"/>
        <w:ind w:left="504" w:hanging="360"/>
      </w:pPr>
      <w:r>
        <w:rPr>
          <w:rFonts w:ascii="Times New Roman" w:hAnsi="Times New Roman"/>
          <w:b/>
          <w:i w:val="0"/>
          <w:color w:val="0F2C5F"/>
          <w:sz w:val="21"/>
        </w:rPr>
        <w:t xml:space="preserve">1. </w:t>
      </w:r>
      <w:r>
        <w:rPr>
          <w:rFonts w:ascii="Times New Roman" w:hAnsi="Times New Roman"/>
          <w:b/>
          <w:i w:val="0"/>
          <w:color w:val="14141E"/>
          <w:sz w:val="21"/>
        </w:rPr>
        <w:t>Pune Metropolitan Region AOI (Maharashtra, India):</w:t>
      </w:r>
    </w:p>
    <w:p>
      <w:pPr>
        <w:spacing w:before="20" w:after="40" w:line="288" w:lineRule="auto"/>
        <w:ind w:left="432" w:hanging="288"/>
      </w:pPr>
      <w:r>
        <w:rPr>
          <w:rFonts w:ascii="Times New Roman" w:hAnsi="Times New Roman"/>
          <w:b/>
          <w:i w:val="0"/>
          <w:color w:val="19529C"/>
          <w:sz w:val="21"/>
        </w:rPr>
        <w:t xml:space="preserve">• </w:t>
      </w:r>
      <w:r>
        <w:rPr>
          <w:rFonts w:ascii="Times New Roman" w:hAnsi="Times New Roman"/>
          <w:b/>
          <w:i w:val="0"/>
          <w:color w:val="14141E"/>
          <w:sz w:val="21"/>
        </w:rPr>
        <w:t>Footprint:</w:t>
      </w:r>
      <w:r>
        <w:rPr>
          <w:rFonts w:ascii="Times New Roman" w:hAnsi="Times New Roman"/>
          <w:b w:val="0"/>
          <w:i w:val="0"/>
          <w:color w:val="14141E"/>
          <w:sz w:val="21"/>
        </w:rPr>
        <w:t>Centered at</w:t>
      </w:r>
      <w:r>
        <w:rPr>
          <w:rFonts w:ascii="Cambria Math" w:hAnsi="Cambria Math"/>
          <w:b w:val="0"/>
          <w:i/>
          <w:color w:val="0F2864"/>
          <w:sz w:val="21"/>
        </w:rPr>
        <w:t>18.4388^° N, 73.7728^° E</w:t>
      </w:r>
      <w:r>
        <w:rPr>
          <w:rFonts w:ascii="Times New Roman" w:hAnsi="Times New Roman"/>
          <w:b w:val="0"/>
          <w:i w:val="0"/>
          <w:color w:val="14141E"/>
          <w:sz w:val="21"/>
        </w:rPr>
        <w:t>(</w:t>
      </w:r>
      <w:r>
        <w:rPr>
          <w:rFonts w:ascii="Cambria Math" w:hAnsi="Cambria Math"/>
          <w:b w:val="0"/>
          <w:i/>
          <w:color w:val="0F2864"/>
          <w:sz w:val="21"/>
        </w:rPr>
        <w:t>10 km</w:t>
      </w:r>
      <w:r>
        <w:rPr>
          <w:rFonts w:ascii="Times New Roman" w:hAnsi="Times New Roman"/>
          <w:b w:val="0"/>
          <w:i w:val="0"/>
          <w:color w:val="14141E"/>
          <w:sz w:val="21"/>
        </w:rPr>
        <w:t>radius). Captures dense urban settlements, fragmented smallholder agricultural plots, the Khadakwasla reservoir, and transport corridors.</w:t>
      </w:r>
    </w:p>
    <w:p>
      <w:pPr>
        <w:spacing w:before="20" w:after="40" w:line="288" w:lineRule="auto"/>
        <w:ind w:left="432" w:hanging="288"/>
      </w:pPr>
      <w:r>
        <w:rPr>
          <w:rFonts w:ascii="Times New Roman" w:hAnsi="Times New Roman"/>
          <w:b/>
          <w:i w:val="0"/>
          <w:color w:val="19529C"/>
          <w:sz w:val="21"/>
        </w:rPr>
        <w:t xml:space="preserve">• </w:t>
      </w:r>
      <w:r>
        <w:rPr>
          <w:rFonts w:ascii="Times New Roman" w:hAnsi="Times New Roman"/>
          <w:b/>
          <w:i w:val="0"/>
          <w:color w:val="14141E"/>
          <w:sz w:val="21"/>
        </w:rPr>
        <w:t>Data Characteristics:</w:t>
      </w:r>
      <w:r>
        <w:rPr>
          <w:rFonts w:ascii="Times New Roman" w:hAnsi="Times New Roman"/>
          <w:b w:val="0"/>
          <w:i w:val="0"/>
          <w:color w:val="14141E"/>
          <w:sz w:val="21"/>
        </w:rPr>
        <w:t>Cloud-free Sentinel-2 Level-2A Bottom-Of-Atmosphere (BOA) surface reflectance tiles (2023–2026, cloud cover</w:t>
      </w:r>
      <w:r>
        <w:rPr>
          <w:rFonts w:ascii="Cambria Math" w:hAnsi="Cambria Math"/>
          <w:b w:val="0"/>
          <w:i/>
          <w:color w:val="0F2864"/>
          <w:sz w:val="21"/>
        </w:rPr>
        <w:t>≤ 2\%</w:t>
      </w:r>
      <w:r>
        <w:rPr>
          <w:rFonts w:ascii="Times New Roman" w:hAnsi="Times New Roman"/>
          <w:b w:val="0"/>
          <w:i w:val="0"/>
          <w:color w:val="14141E"/>
          <w:sz w:val="21"/>
        </w:rPr>
        <w:t>).</w:t>
      </w:r>
    </w:p>
    <w:p>
      <w:pPr>
        <w:spacing w:before="20" w:after="40" w:line="288" w:lineRule="auto"/>
        <w:ind w:left="432" w:hanging="288"/>
      </w:pPr>
      <w:r>
        <w:rPr>
          <w:rFonts w:ascii="Times New Roman" w:hAnsi="Times New Roman"/>
          <w:b/>
          <w:i w:val="0"/>
          <w:color w:val="19529C"/>
          <w:sz w:val="21"/>
        </w:rPr>
        <w:t xml:space="preserve">• </w:t>
      </w:r>
      <w:r>
        <w:rPr>
          <w:rFonts w:ascii="Times New Roman" w:hAnsi="Times New Roman"/>
          <w:b/>
          <w:i w:val="0"/>
          <w:color w:val="14141E"/>
          <w:sz w:val="21"/>
        </w:rPr>
        <w:t>Splits:</w:t>
      </w:r>
      <w:r>
        <w:rPr>
          <w:rFonts w:ascii="Times New Roman" w:hAnsi="Times New Roman"/>
          <w:b w:val="0"/>
          <w:i w:val="0"/>
          <w:color w:val="14141E"/>
          <w:sz w:val="21"/>
        </w:rPr>
        <w:t>Sliced into</w:t>
      </w:r>
      <w:r>
        <w:rPr>
          <w:rFonts w:ascii="Cambria Math" w:hAnsi="Cambria Math"/>
          <w:b w:val="0"/>
          <w:i/>
          <w:color w:val="0F2864"/>
          <w:sz w:val="21"/>
        </w:rPr>
        <w:t>64 × 64</w:t>
      </w:r>
      <w:r>
        <w:rPr>
          <w:rFonts w:ascii="Times New Roman" w:hAnsi="Times New Roman"/>
          <w:b w:val="0"/>
          <w:i w:val="0"/>
          <w:color w:val="14141E"/>
          <w:sz w:val="21"/>
        </w:rPr>
        <w:t>LR patches (</w:t>
      </w:r>
      <w:r>
        <w:rPr>
          <w:rFonts w:ascii="Cambria Math" w:hAnsi="Cambria Math"/>
          <w:b w:val="0"/>
          <w:i/>
          <w:color w:val="0F2864"/>
          <w:sz w:val="21"/>
        </w:rPr>
        <w:t>10 m</w:t>
      </w:r>
      <w:r>
        <w:rPr>
          <w:rFonts w:ascii="Times New Roman" w:hAnsi="Times New Roman"/>
          <w:b w:val="0"/>
          <w:i w:val="0"/>
          <w:color w:val="14141E"/>
          <w:sz w:val="21"/>
        </w:rPr>
        <w:t>GSD) mapping to</w:t>
      </w:r>
      <w:r>
        <w:rPr>
          <w:rFonts w:ascii="Cambria Math" w:hAnsi="Cambria Math"/>
          <w:b w:val="0"/>
          <w:i/>
          <w:color w:val="0F2864"/>
          <w:sz w:val="21"/>
        </w:rPr>
        <w:t>256 × 256</w:t>
      </w:r>
      <w:r>
        <w:rPr>
          <w:rFonts w:ascii="Times New Roman" w:hAnsi="Times New Roman"/>
          <w:b w:val="0"/>
          <w:i w:val="0"/>
          <w:color w:val="14141E"/>
          <w:sz w:val="21"/>
        </w:rPr>
        <w:t>HR targets (</w:t>
      </w:r>
      <w:r>
        <w:rPr>
          <w:rFonts w:ascii="Cambria Math" w:hAnsi="Cambria Math"/>
          <w:b w:val="0"/>
          <w:i/>
          <w:color w:val="0F2864"/>
          <w:sz w:val="21"/>
        </w:rPr>
        <w:t>2.5 m</w:t>
      </w:r>
      <w:r>
        <w:rPr>
          <w:rFonts w:ascii="Times New Roman" w:hAnsi="Times New Roman"/>
          <w:b w:val="0"/>
          <w:i w:val="0"/>
          <w:color w:val="14141E"/>
          <w:sz w:val="21"/>
        </w:rPr>
        <w:t>GSD). Chronologically split into</w:t>
      </w:r>
      <w:r>
        <w:rPr>
          <w:rFonts w:ascii="Times New Roman" w:hAnsi="Times New Roman"/>
          <w:b/>
          <w:i w:val="0"/>
          <w:color w:val="14141E"/>
          <w:sz w:val="21"/>
        </w:rPr>
        <w:t>1,400 training</w:t>
      </w:r>
      <w:r>
        <w:rPr>
          <w:rFonts w:ascii="Times New Roman" w:hAnsi="Times New Roman"/>
          <w:b w:val="0"/>
          <w:i w:val="0"/>
          <w:color w:val="14141E"/>
          <w:sz w:val="21"/>
        </w:rPr>
        <w:t>,</w:t>
      </w:r>
      <w:r>
        <w:rPr>
          <w:rFonts w:ascii="Times New Roman" w:hAnsi="Times New Roman"/>
          <w:b/>
          <w:i w:val="0"/>
          <w:color w:val="14141E"/>
          <w:sz w:val="21"/>
        </w:rPr>
        <w:t>100 validation</w:t>
      </w:r>
      <w:r>
        <w:rPr>
          <w:rFonts w:ascii="Times New Roman" w:hAnsi="Times New Roman"/>
          <w:b w:val="0"/>
          <w:i w:val="0"/>
          <w:color w:val="14141E"/>
          <w:sz w:val="21"/>
        </w:rPr>
        <w:t>, and</w:t>
      </w:r>
      <w:r>
        <w:rPr>
          <w:rFonts w:ascii="Times New Roman" w:hAnsi="Times New Roman"/>
          <w:b/>
          <w:i w:val="0"/>
          <w:color w:val="14141E"/>
          <w:sz w:val="21"/>
        </w:rPr>
        <w:t>50 held-out unseen test patches</w:t>
      </w:r>
      <w:r>
        <w:rPr>
          <w:rFonts w:ascii="Times New Roman" w:hAnsi="Times New Roman"/>
          <w:b w:val="0"/>
          <w:i w:val="0"/>
          <w:color w:val="14141E"/>
          <w:sz w:val="21"/>
        </w:rPr>
        <w:t>.</w:t>
      </w:r>
    </w:p>
    <w:p>
      <w:pPr>
        <w:spacing w:before="40" w:after="60" w:line="288" w:lineRule="auto"/>
        <w:ind w:left="504" w:hanging="360"/>
      </w:pPr>
      <w:r>
        <w:rPr>
          <w:rFonts w:ascii="Times New Roman" w:hAnsi="Times New Roman"/>
          <w:b/>
          <w:i w:val="0"/>
          <w:color w:val="0F2C5F"/>
          <w:sz w:val="21"/>
        </w:rPr>
        <w:t xml:space="preserve">2. </w:t>
      </w:r>
      <w:r>
        <w:rPr>
          <w:rFonts w:ascii="Times New Roman" w:hAnsi="Times New Roman"/>
          <w:b/>
          <w:i w:val="0"/>
          <w:color w:val="14141E"/>
          <w:sz w:val="21"/>
        </w:rPr>
        <w:t>ESA OpenSR SEN2NEON Reference Benchmark:</w:t>
      </w:r>
    </w:p>
    <w:p>
      <w:pPr>
        <w:spacing w:before="20" w:after="40" w:line="288" w:lineRule="auto"/>
        <w:ind w:left="432" w:hanging="288"/>
      </w:pPr>
      <w:r>
        <w:rPr>
          <w:rFonts w:ascii="Times New Roman" w:hAnsi="Times New Roman"/>
          <w:b/>
          <w:i w:val="0"/>
          <w:color w:val="19529C"/>
          <w:sz w:val="21"/>
        </w:rPr>
        <w:t xml:space="preserve">• </w:t>
      </w:r>
      <w:r>
        <w:rPr>
          <w:rFonts w:ascii="Times New Roman" w:hAnsi="Times New Roman"/>
          <w:b w:val="0"/>
          <w:i w:val="0"/>
          <w:color w:val="14141E"/>
          <w:sz w:val="21"/>
        </w:rPr>
        <w:t>Pairs observed Sentinel-2 L2A BOA reflectances with co-registered</w:t>
      </w:r>
      <w:r>
        <w:rPr>
          <w:rFonts w:ascii="Cambria Math" w:hAnsi="Cambria Math"/>
          <w:b w:val="0"/>
          <w:i/>
          <w:color w:val="0F2864"/>
          <w:sz w:val="21"/>
        </w:rPr>
        <w:t>1 m</w:t>
      </w:r>
      <w:r>
        <w:rPr>
          <w:rFonts w:ascii="Times New Roman" w:hAnsi="Times New Roman"/>
          <w:b w:val="0"/>
          <w:i w:val="0"/>
          <w:color w:val="14141E"/>
          <w:sz w:val="21"/>
        </w:rPr>
        <w:t>AVIRIS-NG airborne hyperspectral data harmonized to Sentinel-2 Spectral Response Functions on a standardized</w:t>
      </w:r>
      <w:r>
        <w:rPr>
          <w:rFonts w:ascii="Cambria Math" w:hAnsi="Cambria Math"/>
          <w:b w:val="0"/>
          <w:i/>
          <w:color w:val="0F2864"/>
          <w:sz w:val="21"/>
        </w:rPr>
        <w:t>2.5 m</w:t>
      </w:r>
      <w:r>
        <w:rPr>
          <w:rFonts w:ascii="Times New Roman" w:hAnsi="Times New Roman"/>
          <w:b w:val="0"/>
          <w:i w:val="0"/>
          <w:color w:val="14141E"/>
          <w:sz w:val="21"/>
        </w:rPr>
        <w:t>HR grid (32,672 training, 3,632 test patches).</w:t>
      </w:r>
    </w:p>
    <w:p>
      <w:pPr>
        <w:spacing w:before="200" w:after="60"/>
      </w:pPr>
      <w:r>
        <w:rPr>
          <w:rFonts w:ascii="Times New Roman" w:hAnsi="Times New Roman"/>
          <w:b/>
          <w:i/>
          <w:color w:val="19529C"/>
          <w:sz w:val="22"/>
        </w:rPr>
        <w:t>B. Implementation, Hardware &amp; Training Pipeline</w:t>
      </w:r>
    </w:p>
    <w:p>
      <w:pPr>
        <w:spacing w:before="20" w:after="40" w:line="288" w:lineRule="auto"/>
        <w:ind w:left="432" w:hanging="288"/>
      </w:pPr>
      <w:r>
        <w:rPr>
          <w:rFonts w:ascii="Times New Roman" w:hAnsi="Times New Roman"/>
          <w:b/>
          <w:i w:val="0"/>
          <w:color w:val="19529C"/>
          <w:sz w:val="21"/>
        </w:rPr>
        <w:t xml:space="preserve">• </w:t>
      </w:r>
      <w:r>
        <w:rPr>
          <w:rFonts w:ascii="Times New Roman" w:hAnsi="Times New Roman"/>
          <w:b/>
          <w:i w:val="0"/>
          <w:color w:val="14141E"/>
          <w:sz w:val="21"/>
        </w:rPr>
        <w:t>Hardware:</w:t>
      </w:r>
      <w:r>
        <w:rPr>
          <w:rFonts w:ascii="Times New Roman" w:hAnsi="Times New Roman"/>
          <w:b w:val="0"/>
          <w:i w:val="0"/>
          <w:color w:val="14141E"/>
          <w:sz w:val="21"/>
        </w:rPr>
        <w:t>Trained on an NVIDIA A10G Tensor Core GPU (</w:t>
      </w:r>
      <w:r>
        <w:rPr>
          <w:rFonts w:ascii="Cambria Math" w:hAnsi="Cambria Math"/>
          <w:b w:val="0"/>
          <w:i/>
          <w:color w:val="0F2864"/>
          <w:sz w:val="21"/>
        </w:rPr>
        <w:t>24 GB</w:t>
      </w:r>
      <w:r>
        <w:rPr>
          <w:rFonts w:ascii="Times New Roman" w:hAnsi="Times New Roman"/>
          <w:b w:val="0"/>
          <w:i w:val="0"/>
          <w:color w:val="14141E"/>
          <w:sz w:val="21"/>
        </w:rPr>
        <w:t>VRAM) with scale verification on an NVIDIA B200.</w:t>
      </w:r>
    </w:p>
    <w:p>
      <w:pPr>
        <w:spacing w:before="20" w:after="40" w:line="288" w:lineRule="auto"/>
        <w:ind w:left="432" w:hanging="288"/>
      </w:pPr>
      <w:r>
        <w:rPr>
          <w:rFonts w:ascii="Times New Roman" w:hAnsi="Times New Roman"/>
          <w:b/>
          <w:i w:val="0"/>
          <w:color w:val="19529C"/>
          <w:sz w:val="21"/>
        </w:rPr>
        <w:t xml:space="preserve">• </w:t>
      </w:r>
      <w:r>
        <w:rPr>
          <w:rFonts w:ascii="Times New Roman" w:hAnsi="Times New Roman"/>
          <w:b/>
          <w:i w:val="0"/>
          <w:color w:val="14141E"/>
          <w:sz w:val="21"/>
        </w:rPr>
        <w:t>In-Memory Caching:</w:t>
      </w:r>
      <w:r>
        <w:rPr>
          <w:rFonts w:ascii="Times New Roman" w:hAnsi="Times New Roman"/>
          <w:b w:val="0"/>
          <w:i w:val="0"/>
          <w:color w:val="14141E"/>
          <w:sz w:val="21"/>
        </w:rPr>
        <w:t>Pinned-host RAM caching (</w:t>
      </w:r>
      <w:r>
        <w:rPr>
          <w:rFonts w:ascii="Consolas" w:hAnsi="Consolas"/>
          <w:b w:val="0"/>
          <w:i w:val="0"/>
          <w:color w:val="6432A0"/>
          <w:sz w:val="20"/>
        </w:rPr>
        <w:t>TeacherCacheDataset</w:t>
      </w:r>
      <w:r>
        <w:rPr>
          <w:rFonts w:ascii="Times New Roman" w:hAnsi="Times New Roman"/>
          <w:b w:val="0"/>
          <w:i w:val="0"/>
          <w:color w:val="14141E"/>
          <w:sz w:val="21"/>
        </w:rPr>
        <w:t>and</w:t>
      </w:r>
      <w:r>
        <w:rPr>
          <w:rFonts w:ascii="Consolas" w:hAnsi="Consolas"/>
          <w:b w:val="0"/>
          <w:i w:val="0"/>
          <w:color w:val="6432A0"/>
          <w:sz w:val="20"/>
        </w:rPr>
        <w:t>sen2neon_ram_dataset</w:t>
      </w:r>
      <w:r>
        <w:rPr>
          <w:rFonts w:ascii="Times New Roman" w:hAnsi="Times New Roman"/>
          <w:b w:val="0"/>
          <w:i w:val="0"/>
          <w:color w:val="14141E"/>
          <w:sz w:val="21"/>
        </w:rPr>
        <w:t>) bypassed remote storage I/O bottlenecks, increasing training throughput by</w:t>
      </w:r>
      <w:r>
        <w:rPr>
          <w:rFonts w:ascii="Cambria Math" w:hAnsi="Cambria Math"/>
          <w:b w:val="0"/>
          <w:i/>
          <w:color w:val="0F2864"/>
          <w:sz w:val="21"/>
        </w:rPr>
        <w:t>10.6×</w:t>
      </w:r>
      <w:r>
        <w:rPr>
          <w:rFonts w:ascii="Times New Roman" w:hAnsi="Times New Roman"/>
          <w:b w:val="0"/>
          <w:i w:val="0"/>
          <w:color w:val="14141E"/>
          <w:sz w:val="21"/>
        </w:rPr>
        <w:t>(</w:t>
      </w:r>
      <w:r>
        <w:rPr>
          <w:rFonts w:ascii="Cambria Math" w:hAnsi="Cambria Math"/>
          <w:b w:val="0"/>
          <w:i/>
          <w:color w:val="0F2864"/>
          <w:sz w:val="21"/>
        </w:rPr>
        <w:t>0.3 → 3.2 steps/s</w:t>
      </w:r>
      <w:r>
        <w:rPr>
          <w:rFonts w:ascii="Times New Roman" w:hAnsi="Times New Roman"/>
          <w:b w:val="0"/>
          <w:i w:val="0"/>
          <w:color w:val="14141E"/>
          <w:sz w:val="21"/>
        </w:rPr>
        <w:t>).</w:t>
      </w:r>
    </w:p>
    <w:p>
      <w:pPr>
        <w:spacing w:before="20" w:after="40" w:line="288" w:lineRule="auto"/>
        <w:ind w:left="432" w:hanging="288"/>
      </w:pPr>
      <w:r>
        <w:rPr>
          <w:rFonts w:ascii="Times New Roman" w:hAnsi="Times New Roman"/>
          <w:b/>
          <w:i w:val="0"/>
          <w:color w:val="19529C"/>
          <w:sz w:val="21"/>
        </w:rPr>
        <w:t xml:space="preserve">• </w:t>
      </w:r>
      <w:r>
        <w:rPr>
          <w:rFonts w:ascii="Times New Roman" w:hAnsi="Times New Roman"/>
          <w:b/>
          <w:i w:val="0"/>
          <w:color w:val="14141E"/>
          <w:sz w:val="21"/>
        </w:rPr>
        <w:t>Optimization:</w:t>
      </w:r>
      <w:r>
        <w:rPr>
          <w:rFonts w:ascii="Times New Roman" w:hAnsi="Times New Roman"/>
          <w:b w:val="0"/>
          <w:i w:val="0"/>
          <w:color w:val="14141E"/>
          <w:sz w:val="21"/>
        </w:rPr>
        <w:t>AdamW (</w:t>
      </w:r>
      <w:r>
        <w:rPr>
          <w:rFonts w:ascii="Cambria Math" w:hAnsi="Cambria Math"/>
          <w:b w:val="0"/>
          <w:i/>
          <w:color w:val="0F2864"/>
          <w:sz w:val="21"/>
        </w:rPr>
        <w:t>β_1=0.9, β_2=0.999</w:t>
      </w:r>
      <w:r>
        <w:rPr>
          <w:rFonts w:ascii="Times New Roman" w:hAnsi="Times New Roman"/>
          <w:b w:val="0"/>
          <w:i w:val="0"/>
          <w:color w:val="14141E"/>
          <w:sz w:val="21"/>
        </w:rPr>
        <w:t>, weight decay</w:t>
      </w:r>
      <w:r>
        <w:rPr>
          <w:rFonts w:ascii="Cambria Math" w:hAnsi="Cambria Math"/>
          <w:b w:val="0"/>
          <w:i/>
          <w:color w:val="0F2864"/>
          <w:sz w:val="21"/>
        </w:rPr>
        <w:t>10^-4</w:t>
      </w:r>
      <w:r>
        <w:rPr>
          <w:rFonts w:ascii="Times New Roman" w:hAnsi="Times New Roman"/>
          <w:b w:val="0"/>
          <w:i w:val="0"/>
          <w:color w:val="14141E"/>
          <w:sz w:val="21"/>
        </w:rPr>
        <w:t>), initial learning rate</w:t>
      </w:r>
      <w:r>
        <w:rPr>
          <w:rFonts w:ascii="Cambria Math" w:hAnsi="Cambria Math"/>
          <w:b w:val="0"/>
          <w:i/>
          <w:color w:val="0F2864"/>
          <w:sz w:val="21"/>
        </w:rPr>
        <w:t>η_0 = 2 × 10^-4</w:t>
      </w:r>
      <w:r>
        <w:rPr>
          <w:rFonts w:ascii="Times New Roman" w:hAnsi="Times New Roman"/>
          <w:b w:val="0"/>
          <w:i w:val="0"/>
          <w:color w:val="14141E"/>
          <w:sz w:val="21"/>
        </w:rPr>
        <w:t>, Cosine Annealing decay down to</w:t>
      </w:r>
      <w:r>
        <w:rPr>
          <w:rFonts w:ascii="Cambria Math" w:hAnsi="Cambria Math"/>
          <w:b w:val="0"/>
          <w:i/>
          <w:color w:val="0F2864"/>
          <w:sz w:val="21"/>
        </w:rPr>
        <w:t>η_min = 10^-6</w:t>
      </w:r>
      <w:r>
        <w:rPr>
          <w:rFonts w:ascii="Times New Roman" w:hAnsi="Times New Roman"/>
          <w:b w:val="0"/>
          <w:i w:val="0"/>
          <w:color w:val="14141E"/>
          <w:sz w:val="21"/>
        </w:rPr>
        <w:t>over 50 epochs.</w:t>
      </w:r>
    </w:p>
    <w:p>
      <w:pPr>
        <w:spacing w:before="20" w:after="40" w:line="288" w:lineRule="auto"/>
        <w:ind w:left="432" w:hanging="288"/>
      </w:pPr>
      <w:r>
        <w:rPr>
          <w:rFonts w:ascii="Times New Roman" w:hAnsi="Times New Roman"/>
          <w:b/>
          <w:i w:val="0"/>
          <w:color w:val="19529C"/>
          <w:sz w:val="21"/>
        </w:rPr>
        <w:t xml:space="preserve">• </w:t>
      </w:r>
      <w:r>
        <w:rPr>
          <w:rFonts w:ascii="Times New Roman" w:hAnsi="Times New Roman"/>
          <w:b/>
          <w:i w:val="0"/>
          <w:color w:val="14141E"/>
          <w:sz w:val="21"/>
        </w:rPr>
        <w:t>Precision &amp; Batching:</w:t>
      </w:r>
      <w:r>
        <w:rPr>
          <w:rFonts w:ascii="Times New Roman" w:hAnsi="Times New Roman"/>
          <w:b w:val="0"/>
          <w:i w:val="0"/>
          <w:color w:val="14141E"/>
          <w:sz w:val="21"/>
        </w:rPr>
        <w:t>Mixed-precision training via PyTorch AMP (</w:t>
      </w:r>
      <w:r>
        <w:rPr>
          <w:rFonts w:ascii="Consolas" w:hAnsi="Consolas"/>
          <w:b w:val="0"/>
          <w:i w:val="0"/>
          <w:color w:val="6432A0"/>
          <w:sz w:val="20"/>
        </w:rPr>
        <w:t>torch.amp.autocast(dtype=torch.bfloat16)</w:t>
      </w:r>
      <w:r>
        <w:rPr>
          <w:rFonts w:ascii="Times New Roman" w:hAnsi="Times New Roman"/>
          <w:b w:val="0"/>
          <w:i w:val="0"/>
          <w:color w:val="14141E"/>
          <w:sz w:val="21"/>
        </w:rPr>
        <w:t>) with effective batch size of 16 patches.</w:t>
      </w:r>
    </w:p>
    <w:p>
      <w:pPr>
        <w:spacing w:before="20" w:after="40" w:line="288" w:lineRule="auto"/>
        <w:ind w:left="432" w:hanging="288"/>
      </w:pPr>
      <w:r>
        <w:rPr>
          <w:rFonts w:ascii="Times New Roman" w:hAnsi="Times New Roman"/>
          <w:b/>
          <w:i w:val="0"/>
          <w:color w:val="19529C"/>
          <w:sz w:val="21"/>
        </w:rPr>
        <w:t xml:space="preserve">• </w:t>
      </w:r>
      <w:r>
        <w:rPr>
          <w:rFonts w:ascii="Times New Roman" w:hAnsi="Times New Roman"/>
          <w:b/>
          <w:i w:val="0"/>
          <w:color w:val="14141E"/>
          <w:sz w:val="21"/>
        </w:rPr>
        <w:t>Distillation:</w:t>
      </w:r>
      <w:r>
        <w:rPr>
          <w:rFonts w:ascii="Times New Roman" w:hAnsi="Times New Roman"/>
          <w:b w:val="0"/>
          <w:i w:val="0"/>
          <w:color w:val="14141E"/>
          <w:sz w:val="21"/>
        </w:rPr>
        <w:t>The base student backbone was distilled from OpenSR-SRGAN on the 4 RGB-NIR bands while all 12 bands were jointly optimized under MTF degradation and heteroscedastic NLL objectives.</w:t>
      </w:r>
    </w:p>
    <w:p>
      <w:pPr>
        <w:spacing w:before="20" w:after="40" w:line="288" w:lineRule="auto"/>
        <w:ind w:left="432" w:hanging="288"/>
      </w:pPr>
      <w:r>
        <w:rPr>
          <w:rFonts w:ascii="Times New Roman" w:hAnsi="Times New Roman"/>
          <w:b/>
          <w:i w:val="0"/>
          <w:color w:val="19529C"/>
          <w:sz w:val="21"/>
        </w:rPr>
        <w:t xml:space="preserve">• </w:t>
      </w:r>
      <w:r>
        <w:rPr>
          <w:rFonts w:ascii="Times New Roman" w:hAnsi="Times New Roman"/>
          <w:b/>
          <w:i w:val="0"/>
          <w:color w:val="14141E"/>
          <w:sz w:val="21"/>
        </w:rPr>
        <w:t>Inference Runtime:</w:t>
      </w:r>
      <w:r>
        <w:rPr>
          <w:rFonts w:ascii="Times New Roman" w:hAnsi="Times New Roman"/>
          <w:b w:val="0"/>
          <w:i w:val="0"/>
          <w:color w:val="14141E"/>
          <w:sz w:val="21"/>
        </w:rPr>
        <w:t>Exported to ONNX and TensorRT engine formats, running in</w:t>
      </w:r>
      <w:r>
        <w:rPr>
          <w:rFonts w:ascii="Cambria Math" w:hAnsi="Cambria Math"/>
          <w:b w:val="0"/>
          <w:i/>
          <w:color w:val="0F2864"/>
          <w:sz w:val="21"/>
        </w:rPr>
        <w:t>24.96 ms</w:t>
      </w:r>
      <w:r>
        <w:rPr>
          <w:rFonts w:ascii="Times New Roman" w:hAnsi="Times New Roman"/>
          <w:b w:val="0"/>
          <w:i w:val="0"/>
          <w:color w:val="14141E"/>
          <w:sz w:val="21"/>
        </w:rPr>
        <w:t>on GPU and</w:t>
      </w:r>
      <w:r>
        <w:rPr>
          <w:rFonts w:ascii="Cambria Math" w:hAnsi="Cambria Math"/>
          <w:b w:val="0"/>
          <w:i/>
          <w:color w:val="0F2864"/>
          <w:sz w:val="21"/>
        </w:rPr>
        <w:t>&lt;120 ms</w:t>
      </w:r>
      <w:r>
        <w:rPr>
          <w:rFonts w:ascii="Times New Roman" w:hAnsi="Times New Roman"/>
          <w:b w:val="0"/>
          <w:i w:val="0"/>
          <w:color w:val="14141E"/>
          <w:sz w:val="21"/>
        </w:rPr>
        <w:t>on multi-core CPUs.</w:t>
      </w:r>
    </w:p>
    <w:p>
      <w:pPr>
        <w:spacing w:before="200" w:after="60"/>
      </w:pPr>
      <w:r>
        <w:rPr>
          <w:rFonts w:ascii="Times New Roman" w:hAnsi="Times New Roman"/>
          <w:b/>
          <w:i/>
          <w:color w:val="19529C"/>
          <w:sz w:val="22"/>
        </w:rPr>
        <w:t>C. Quantitative Evaluation Metrics</w:t>
      </w:r>
    </w:p>
    <w:p>
      <w:pPr>
        <w:spacing w:before="40" w:after="60" w:line="288" w:lineRule="auto"/>
        <w:ind w:left="504" w:hanging="360"/>
      </w:pPr>
      <w:r>
        <w:rPr>
          <w:rFonts w:ascii="Times New Roman" w:hAnsi="Times New Roman"/>
          <w:b/>
          <w:i w:val="0"/>
          <w:color w:val="0F2C5F"/>
          <w:sz w:val="21"/>
        </w:rPr>
        <w:t xml:space="preserve">1. </w:t>
      </w:r>
      <w:r>
        <w:rPr>
          <w:rFonts w:ascii="Times New Roman" w:hAnsi="Times New Roman"/>
          <w:b/>
          <w:i w:val="0"/>
          <w:color w:val="14141E"/>
          <w:sz w:val="21"/>
        </w:rPr>
        <w:t>Peak Signal-to-Noise Ratio (PSNR):</w:t>
      </w:r>
    </w:p>
    <w:p>
      <w:pPr>
        <w:spacing w:before="120" w:after="120"/>
        <w:ind w:left="720" w:right="720"/>
        <w:jc w:val="center"/>
      </w:pPr>
      <w:r>
        <w:rPr>
          <w:rFonts w:ascii="Cambria Math" w:hAnsi="Cambria Math"/>
          <w:b w:val="0"/>
          <w:i/>
          <w:color w:val="0A1E50"/>
          <w:sz w:val="22"/>
        </w:rPr>
        <w:t>PSNR(y, \haty) = 10 · log₁₀≤ft( \fracMAX_I²MSE(y, \haty) )</w:t>
      </w:r>
    </w:p>
    <w:p>
      <w:pPr>
        <w:spacing w:before="20" w:after="60" w:line="288" w:lineRule="auto"/>
        <w:ind w:left="576"/>
      </w:pPr>
      <w:r>
        <w:rPr>
          <w:rFonts w:ascii="Times New Roman" w:hAnsi="Times New Roman"/>
          <w:b w:val="0"/>
          <w:i/>
          <w:color w:val="375578"/>
          <w:sz w:val="20"/>
        </w:rPr>
        <w:t>where</w:t>
      </w:r>
      <w:r>
        <w:rPr>
          <w:rFonts w:ascii="Cambria Math" w:hAnsi="Cambria Math"/>
          <w:b w:val="0"/>
          <w:i/>
          <w:color w:val="0F2864"/>
          <w:sz w:val="20"/>
        </w:rPr>
        <w:t>MAX_I = 1.0</w:t>
      </w:r>
      <w:r>
        <w:rPr>
          <w:rFonts w:ascii="Times New Roman" w:hAnsi="Times New Roman"/>
          <w:b w:val="0"/>
          <w:i/>
          <w:color w:val="375578"/>
          <w:sz w:val="20"/>
        </w:rPr>
        <w:t>for normalized reflectance</w:t>
      </w:r>
      <w:r>
        <w:rPr>
          <w:rFonts w:ascii="Cambria Math" w:hAnsi="Cambria Math"/>
          <w:b w:val="0"/>
          <w:i/>
          <w:color w:val="0F2864"/>
          <w:sz w:val="20"/>
        </w:rPr>
        <w:t>ρ ∈ [0, 1]</w:t>
      </w:r>
      <w:r>
        <w:rPr>
          <w:rFonts w:ascii="Times New Roman" w:hAnsi="Times New Roman"/>
          <w:b w:val="0"/>
          <w:i/>
          <w:color w:val="375578"/>
          <w:sz w:val="20"/>
        </w:rPr>
        <w:t>. Higher is better.</w:t>
      </w:r>
    </w:p>
    <w:p>
      <w:pPr>
        <w:spacing w:before="40" w:after="60" w:line="288" w:lineRule="auto"/>
        <w:ind w:left="504" w:hanging="360"/>
      </w:pPr>
      <w:r>
        <w:rPr>
          <w:rFonts w:ascii="Times New Roman" w:hAnsi="Times New Roman"/>
          <w:b/>
          <w:i w:val="0"/>
          <w:color w:val="0F2C5F"/>
          <w:sz w:val="21"/>
        </w:rPr>
        <w:t xml:space="preserve">2. </w:t>
      </w:r>
      <w:r>
        <w:rPr>
          <w:rFonts w:ascii="Times New Roman" w:hAnsi="Times New Roman"/>
          <w:b/>
          <w:i w:val="0"/>
          <w:color w:val="14141E"/>
          <w:sz w:val="21"/>
        </w:rPr>
        <w:t>Structural Similarity Index Measure (SSIM):</w:t>
      </w:r>
    </w:p>
    <w:p>
      <w:pPr>
        <w:spacing w:before="120" w:after="120"/>
        <w:ind w:left="720" w:right="720"/>
        <w:jc w:val="center"/>
      </w:pPr>
      <w:r>
        <w:rPr>
          <w:rFonts w:ascii="Cambria Math" w:hAnsi="Cambria Math"/>
          <w:b w:val="0"/>
          <w:i/>
          <w:color w:val="0A1E50"/>
          <w:sz w:val="22"/>
        </w:rPr>
        <w:t>SSIM(y, \haty) = \frac(2μ_yμ_\haty + c_1)(2σ_y\haty + c_2)(μ_y² + μ_\haty² + c_1)(σ_y² + σ_\haty² + c_2)</w:t>
      </w:r>
    </w:p>
    <w:p>
      <w:pPr>
        <w:spacing w:before="20" w:after="60" w:line="288" w:lineRule="auto"/>
        <w:ind w:left="576"/>
      </w:pPr>
      <w:r>
        <w:rPr>
          <w:rFonts w:ascii="Times New Roman" w:hAnsi="Times New Roman"/>
          <w:b w:val="0"/>
          <w:i/>
          <w:color w:val="375578"/>
          <w:sz w:val="20"/>
        </w:rPr>
        <w:t>Measures perceptual structural alignment. Higher is better.</w:t>
      </w:r>
    </w:p>
    <w:p>
      <w:pPr>
        <w:spacing w:before="40" w:after="60" w:line="288" w:lineRule="auto"/>
        <w:ind w:left="504" w:hanging="360"/>
      </w:pPr>
      <w:r>
        <w:rPr>
          <w:rFonts w:ascii="Times New Roman" w:hAnsi="Times New Roman"/>
          <w:b/>
          <w:i w:val="0"/>
          <w:color w:val="0F2C5F"/>
          <w:sz w:val="21"/>
        </w:rPr>
        <w:t xml:space="preserve">3. </w:t>
      </w:r>
      <w:r>
        <w:rPr>
          <w:rFonts w:ascii="Times New Roman" w:hAnsi="Times New Roman"/>
          <w:b/>
          <w:i w:val="0"/>
          <w:color w:val="14141E"/>
          <w:sz w:val="21"/>
        </w:rPr>
        <w:t>Spectral Angle Mapper (SAM):</w:t>
      </w:r>
    </w:p>
    <w:p>
      <w:pPr>
        <w:spacing w:before="20" w:after="60" w:line="288" w:lineRule="auto"/>
        <w:ind w:left="576"/>
      </w:pPr>
      <w:r>
        <w:rPr>
          <w:rFonts w:ascii="Times New Roman" w:hAnsi="Times New Roman"/>
          <w:b w:val="0"/>
          <w:i/>
          <w:color w:val="375578"/>
          <w:sz w:val="20"/>
        </w:rPr>
        <w:t>Measures pixel-wise spectral vector distortion in radians and degrees:</w:t>
      </w:r>
    </w:p>
    <w:p>
      <w:pPr>
        <w:spacing w:before="120" w:after="120"/>
        <w:ind w:left="720" w:right="720"/>
        <w:jc w:val="center"/>
      </w:pPr>
      <w:r>
        <w:rPr>
          <w:rFonts w:ascii="Cambria Math" w:hAnsi="Cambria Math"/>
          <w:b w:val="0"/>
          <w:i/>
          <w:color w:val="0A1E50"/>
          <w:sz w:val="22"/>
        </w:rPr>
        <w:t>SAM(y, \haty) = (1)/(Ω) Σ_i ∈ Ω arccos≤ft( \fracy_i^ᵀ \haty_i‖ y_i ‖_2   ‖ \haty_i ‖_2 + ε )</w:t>
      </w:r>
    </w:p>
    <w:p>
      <w:pPr>
        <w:spacing w:before="20" w:after="60" w:line="288" w:lineRule="auto"/>
        <w:ind w:left="576"/>
      </w:pPr>
      <w:r>
        <w:rPr>
          <w:rFonts w:ascii="Times New Roman" w:hAnsi="Times New Roman"/>
          <w:b w:val="0"/>
          <w:i/>
          <w:color w:val="375578"/>
          <w:sz w:val="20"/>
        </w:rPr>
        <w:t>Lower indicates superior spectral and color conservation.</w:t>
      </w:r>
    </w:p>
    <w:p>
      <w:pPr>
        <w:spacing w:before="40" w:after="60" w:line="288" w:lineRule="auto"/>
        <w:ind w:left="504" w:hanging="360"/>
      </w:pPr>
      <w:r>
        <w:rPr>
          <w:rFonts w:ascii="Times New Roman" w:hAnsi="Times New Roman"/>
          <w:b/>
          <w:i w:val="0"/>
          <w:color w:val="0F2C5F"/>
          <w:sz w:val="21"/>
        </w:rPr>
        <w:t xml:space="preserve">4. </w:t>
      </w:r>
      <w:r>
        <w:rPr>
          <w:rFonts w:ascii="Times New Roman" w:hAnsi="Times New Roman"/>
          <w:b/>
          <w:i w:val="0"/>
          <w:color w:val="14141E"/>
          <w:sz w:val="21"/>
        </w:rPr>
        <w:t>Biophysical Vegetation &amp; Moisture Index Errors:</w:t>
      </w:r>
    </w:p>
    <w:p>
      <w:pPr>
        <w:spacing w:before="20" w:after="40" w:line="288" w:lineRule="auto"/>
        <w:ind w:left="432" w:hanging="288"/>
      </w:pPr>
      <w:r>
        <w:rPr>
          <w:rFonts w:ascii="Times New Roman" w:hAnsi="Times New Roman"/>
          <w:b/>
          <w:i w:val="0"/>
          <w:color w:val="19529C"/>
          <w:sz w:val="21"/>
        </w:rPr>
        <w:t xml:space="preserve">• </w:t>
      </w:r>
      <w:r>
        <w:rPr>
          <w:rFonts w:ascii="Times New Roman" w:hAnsi="Times New Roman"/>
          <w:b/>
          <w:i w:val="0"/>
          <w:color w:val="14141E"/>
          <w:sz w:val="21"/>
        </w:rPr>
        <w:t>Normalized Difference Vegetation Index (NDVI):</w:t>
      </w:r>
    </w:p>
    <w:p>
      <w:pPr>
        <w:spacing w:before="120" w:after="120"/>
        <w:ind w:left="720" w:right="720"/>
        <w:jc w:val="center"/>
      </w:pPr>
      <w:r>
        <w:rPr>
          <w:rFonts w:ascii="Cambria Math" w:hAnsi="Cambria Math"/>
          <w:b w:val="0"/>
          <w:i/>
          <w:color w:val="0A1E50"/>
          <w:sz w:val="22"/>
        </w:rPr>
        <w:t>NDVI = \fracρ_B8 - ρ_B4ρ_B8 + ρ_B4,    MAE_NDVI = (1)/(Ω)Σ_i ∈ Ω | NDVI(y_i) - NDVI(\haty_i) |</w:t>
      </w:r>
    </w:p>
    <w:p>
      <w:pPr>
        <w:spacing w:before="20" w:after="40" w:line="288" w:lineRule="auto"/>
        <w:ind w:left="432" w:hanging="288"/>
      </w:pPr>
      <w:r>
        <w:rPr>
          <w:rFonts w:ascii="Times New Roman" w:hAnsi="Times New Roman"/>
          <w:b/>
          <w:i w:val="0"/>
          <w:color w:val="19529C"/>
          <w:sz w:val="21"/>
        </w:rPr>
        <w:t xml:space="preserve">• </w:t>
      </w:r>
      <w:r>
        <w:rPr>
          <w:rFonts w:ascii="Times New Roman" w:hAnsi="Times New Roman"/>
          <w:b/>
          <w:i w:val="0"/>
          <w:color w:val="14141E"/>
          <w:sz w:val="21"/>
        </w:rPr>
        <w:t>Normalized Difference Red Edge Index (NDRE):</w:t>
      </w:r>
    </w:p>
    <w:p>
      <w:pPr>
        <w:spacing w:before="120" w:after="120"/>
        <w:ind w:left="720" w:right="720"/>
        <w:jc w:val="center"/>
      </w:pPr>
      <w:r>
        <w:rPr>
          <w:rFonts w:ascii="Cambria Math" w:hAnsi="Cambria Math"/>
          <w:b w:val="0"/>
          <w:i/>
          <w:color w:val="0A1E50"/>
          <w:sz w:val="22"/>
        </w:rPr>
        <w:t>NDRE = \fracρ_B8 - ρ_B5ρ_B8 + ρ_B5,    MAE_NDRE = (1)/(Ω)Σ_i ∈ Ω | NDRE(y_i) - NDRE(\haty_i) |</w:t>
      </w:r>
    </w:p>
    <w:p>
      <w:pPr>
        <w:spacing w:before="20" w:after="40" w:line="288" w:lineRule="auto"/>
        <w:ind w:left="432" w:hanging="288"/>
      </w:pPr>
      <w:r>
        <w:rPr>
          <w:rFonts w:ascii="Times New Roman" w:hAnsi="Times New Roman"/>
          <w:b/>
          <w:i w:val="0"/>
          <w:color w:val="19529C"/>
          <w:sz w:val="21"/>
        </w:rPr>
        <w:t xml:space="preserve">• </w:t>
      </w:r>
      <w:r>
        <w:rPr>
          <w:rFonts w:ascii="Times New Roman" w:hAnsi="Times New Roman"/>
          <w:b/>
          <w:i w:val="0"/>
          <w:color w:val="14141E"/>
          <w:sz w:val="21"/>
        </w:rPr>
        <w:t>Normalized Difference Water Index (NDWI):</w:t>
      </w:r>
    </w:p>
    <w:p>
      <w:pPr>
        <w:spacing w:before="120" w:after="120"/>
        <w:ind w:left="720" w:right="720"/>
        <w:jc w:val="center"/>
      </w:pPr>
      <w:r>
        <w:rPr>
          <w:rFonts w:ascii="Cambria Math" w:hAnsi="Cambria Math"/>
          <w:b w:val="0"/>
          <w:i/>
          <w:color w:val="0A1E50"/>
          <w:sz w:val="22"/>
        </w:rPr>
        <w:t>NDWI = \fracρ_B3 - ρ_B8ρ_B3 + ρ_B8,    MAE_NDWI = (1)/(Ω)Σ_i ∈ Ω | NDWI(y_i) - NDWI(\haty_i) |</w:t>
      </w:r>
    </w:p>
    <w:p>
      <w:pPr>
        <w:spacing w:before="40" w:after="60" w:line="288" w:lineRule="auto"/>
        <w:ind w:left="504" w:hanging="360"/>
      </w:pPr>
      <w:r>
        <w:rPr>
          <w:rFonts w:ascii="Times New Roman" w:hAnsi="Times New Roman"/>
          <w:b/>
          <w:i w:val="0"/>
          <w:color w:val="0F2C5F"/>
          <w:sz w:val="21"/>
        </w:rPr>
        <w:t xml:space="preserve">5. </w:t>
      </w:r>
      <w:r>
        <w:rPr>
          <w:rFonts w:ascii="Times New Roman" w:hAnsi="Times New Roman"/>
          <w:b/>
          <w:i w:val="0"/>
          <w:color w:val="14141E"/>
          <w:sz w:val="21"/>
        </w:rPr>
        <w:t>Uncertainty Calibration:</w:t>
      </w:r>
      <w:r>
        <w:rPr>
          <w:rFonts w:ascii="Times New Roman" w:hAnsi="Times New Roman"/>
          <w:b w:val="0"/>
          <w:i w:val="0"/>
          <w:color w:val="14141E"/>
          <w:sz w:val="21"/>
        </w:rPr>
        <w:t>Quantified via the Spearman rank correlation</w:t>
      </w:r>
      <w:r>
        <w:rPr>
          <w:rFonts w:ascii="Cambria Math" w:hAnsi="Cambria Math"/>
          <w:b w:val="0"/>
          <w:i/>
          <w:color w:val="0F2864"/>
          <w:sz w:val="21"/>
        </w:rPr>
        <w:t>ρ(σ², | y - μ |)</w:t>
      </w:r>
      <w:r>
        <w:rPr>
          <w:rFonts w:ascii="Times New Roman" w:hAnsi="Times New Roman"/>
          <w:b w:val="0"/>
          <w:i w:val="0"/>
          <w:color w:val="14141E"/>
          <w:sz w:val="21"/>
        </w:rPr>
        <w:t>between predicted variance and true reconstruction absolute error.</w:t>
      </w:r>
    </w:p>
    <w:p>
      <w:pPr>
        <w:spacing w:before="200" w:after="60"/>
      </w:pPr>
      <w:r>
        <w:rPr>
          <w:rFonts w:ascii="Times New Roman" w:hAnsi="Times New Roman"/>
          <w:b/>
          <w:i/>
          <w:color w:val="19529C"/>
          <w:sz w:val="22"/>
        </w:rPr>
        <w:t>D. Quantitative Performance Benchmark</w:t>
      </w:r>
    </w:p>
    <w:p>
      <w:pPr>
        <w:spacing w:before="200" w:after="60"/>
      </w:pPr>
      <w:r>
        <w:rPr>
          <w:rFonts w:ascii="Times New Roman" w:hAnsi="Times New Roman"/>
          <w:b/>
          <w:i/>
          <w:color w:val="19529C"/>
          <w:sz w:val="22"/>
        </w:rPr>
        <w:t>Table II: Overall Performance Benchmark (Pune Unseen Test Suite, 50 Patches, 10m -&gt; 2.5m)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>
        <w:trPr>
          <w:trHeight w:val="360"/>
        </w:trPr>
        <w:tc>
          <w:tcPr>
            <w:tcW w:type="dxa" w:w="878"/>
            <w:vAlign w:val="center"/>
            <w:shd w:val="clear" w:color="auto" w:fill="1B365D"/>
            <w:tcBorders>
              <w:top w:val="single" w:sz="4" w:space="0" w:color="2C4D75"/>
              <w:left w:val="single" w:sz="4" w:space="0" w:color="2C4D75"/>
              <w:bottom w:val="single" w:sz="4" w:space="0" w:color="2C4D75"/>
              <w:right w:val="single" w:sz="4" w:space="0" w:color="2C4D7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Model</w:t>
            </w:r>
          </w:p>
        </w:tc>
        <w:tc>
          <w:tcPr>
            <w:tcW w:type="dxa" w:w="878"/>
            <w:vAlign w:val="center"/>
            <w:shd w:val="clear" w:color="auto" w:fill="1B365D"/>
            <w:tcBorders>
              <w:top w:val="single" w:sz="4" w:space="0" w:color="2C4D75"/>
              <w:left w:val="single" w:sz="4" w:space="0" w:color="2C4D75"/>
              <w:bottom w:val="single" w:sz="4" w:space="0" w:color="2C4D75"/>
              <w:right w:val="single" w:sz="4" w:space="0" w:color="2C4D7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Parameters</w:t>
            </w:r>
          </w:p>
        </w:tc>
        <w:tc>
          <w:tcPr>
            <w:tcW w:type="dxa" w:w="878"/>
            <w:vAlign w:val="center"/>
            <w:shd w:val="clear" w:color="auto" w:fill="1B365D"/>
            <w:tcBorders>
              <w:top w:val="single" w:sz="4" w:space="0" w:color="2C4D75"/>
              <w:left w:val="single" w:sz="4" w:space="0" w:color="2C4D75"/>
              <w:bottom w:val="single" w:sz="4" w:space="0" w:color="2C4D75"/>
              <w:right w:val="single" w:sz="4" w:space="0" w:color="2C4D7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Latency (ms)</w:t>
            </w:r>
          </w:p>
        </w:tc>
        <w:tc>
          <w:tcPr>
            <w:tcW w:type="dxa" w:w="878"/>
            <w:vAlign w:val="center"/>
            <w:shd w:val="clear" w:color="auto" w:fill="1B365D"/>
            <w:tcBorders>
              <w:top w:val="single" w:sz="4" w:space="0" w:color="2C4D75"/>
              <w:left w:val="single" w:sz="4" w:space="0" w:color="2C4D75"/>
              <w:bottom w:val="single" w:sz="4" w:space="0" w:color="2C4D75"/>
              <w:right w:val="single" w:sz="4" w:space="0" w:color="2C4D7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Peak VRAM</w:t>
            </w:r>
          </w:p>
        </w:tc>
        <w:tc>
          <w:tcPr>
            <w:tcW w:type="dxa" w:w="878"/>
            <w:vAlign w:val="center"/>
            <w:shd w:val="clear" w:color="auto" w:fill="1B365D"/>
            <w:tcBorders>
              <w:top w:val="single" w:sz="4" w:space="0" w:color="2C4D75"/>
              <w:left w:val="single" w:sz="4" w:space="0" w:color="2C4D75"/>
              <w:bottom w:val="single" w:sz="4" w:space="0" w:color="2C4D75"/>
              <w:right w:val="single" w:sz="4" w:space="0" w:color="2C4D7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Bands</w:t>
            </w:r>
          </w:p>
        </w:tc>
        <w:tc>
          <w:tcPr>
            <w:tcW w:type="dxa" w:w="878"/>
            <w:vAlign w:val="center"/>
            <w:shd w:val="clear" w:color="auto" w:fill="1B365D"/>
            <w:tcBorders>
              <w:top w:val="single" w:sz="4" w:space="0" w:color="2C4D75"/>
              <w:left w:val="single" w:sz="4" w:space="0" w:color="2C4D75"/>
              <w:bottom w:val="single" w:sz="4" w:space="0" w:color="2C4D75"/>
              <w:right w:val="single" w:sz="4" w:space="0" w:color="2C4D7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PSNR (dB) ↑</w:t>
            </w:r>
          </w:p>
        </w:tc>
        <w:tc>
          <w:tcPr>
            <w:tcW w:type="dxa" w:w="878"/>
            <w:vAlign w:val="center"/>
            <w:shd w:val="clear" w:color="auto" w:fill="1B365D"/>
            <w:tcBorders>
              <w:top w:val="single" w:sz="4" w:space="0" w:color="2C4D75"/>
              <w:left w:val="single" w:sz="4" w:space="0" w:color="2C4D75"/>
              <w:bottom w:val="single" w:sz="4" w:space="0" w:color="2C4D75"/>
              <w:right w:val="single" w:sz="4" w:space="0" w:color="2C4D7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SSIM ↑</w:t>
            </w:r>
          </w:p>
        </w:tc>
        <w:tc>
          <w:tcPr>
            <w:tcW w:type="dxa" w:w="878"/>
            <w:vAlign w:val="center"/>
            <w:shd w:val="clear" w:color="auto" w:fill="1B365D"/>
            <w:tcBorders>
              <w:top w:val="single" w:sz="4" w:space="0" w:color="2C4D75"/>
              <w:left w:val="single" w:sz="4" w:space="0" w:color="2C4D75"/>
              <w:bottom w:val="single" w:sz="4" w:space="0" w:color="2C4D75"/>
              <w:right w:val="single" w:sz="4" w:space="0" w:color="2C4D7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SAM (rad) ↓</w:t>
            </w:r>
          </w:p>
        </w:tc>
        <w:tc>
          <w:tcPr>
            <w:tcW w:type="dxa" w:w="878"/>
            <w:vAlign w:val="center"/>
            <w:shd w:val="clear" w:color="auto" w:fill="1B365D"/>
            <w:tcBorders>
              <w:top w:val="single" w:sz="4" w:space="0" w:color="2C4D75"/>
              <w:left w:val="single" w:sz="4" w:space="0" w:color="2C4D75"/>
              <w:bottom w:val="single" w:sz="4" w:space="0" w:color="2C4D75"/>
              <w:right w:val="single" w:sz="4" w:space="0" w:color="2C4D7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SAM (deg) ↓</w:t>
            </w:r>
          </w:p>
        </w:tc>
        <w:tc>
          <w:tcPr>
            <w:tcW w:type="dxa" w:w="878"/>
            <w:vAlign w:val="center"/>
            <w:shd w:val="clear" w:color="auto" w:fill="1B365D"/>
            <w:tcBorders>
              <w:top w:val="single" w:sz="4" w:space="0" w:color="2C4D75"/>
              <w:left w:val="single" w:sz="4" w:space="0" w:color="2C4D75"/>
              <w:bottom w:val="single" w:sz="4" w:space="0" w:color="2C4D75"/>
              <w:right w:val="single" w:sz="4" w:space="0" w:color="2C4D75"/>
            </w:tcBorders>
          </w:tcPr>
          <w:p>
            <w:pPr>
              <w:spacing w:before="40" w:after="40" w:line="264" w:lineRule="auto"/>
            </w:pPr>
            <w:r>
              <w:rPr>
                <w:rFonts w:ascii="Cambria Math" w:hAnsi="Cambria Math"/>
                <w:b w:val="0"/>
                <w:i/>
                <w:color w:val="0F2864"/>
                <w:sz w:val="18"/>
              </w:rPr>
              <w:t>MAE_NDVI</w:t>
            </w: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↓</w:t>
            </w:r>
          </w:p>
        </w:tc>
      </w:tr>
      <w:tr>
        <w:trPr>
          <w:trHeight w:val="300"/>
        </w:trPr>
        <w:tc>
          <w:tcPr>
            <w:tcW w:type="dxa" w:w="87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Bicubic Baseline</w:t>
            </w:r>
          </w:p>
        </w:tc>
        <w:tc>
          <w:tcPr>
            <w:tcW w:type="dxa" w:w="87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—</w:t>
            </w:r>
          </w:p>
        </w:tc>
        <w:tc>
          <w:tcPr>
            <w:tcW w:type="dxa" w:w="87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—</w:t>
            </w:r>
          </w:p>
        </w:tc>
        <w:tc>
          <w:tcPr>
            <w:tcW w:type="dxa" w:w="87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—</w:t>
            </w:r>
          </w:p>
        </w:tc>
        <w:tc>
          <w:tcPr>
            <w:tcW w:type="dxa" w:w="87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12</w:t>
            </w:r>
          </w:p>
        </w:tc>
        <w:tc>
          <w:tcPr>
            <w:tcW w:type="dxa" w:w="87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30.04</w:t>
            </w:r>
          </w:p>
        </w:tc>
        <w:tc>
          <w:tcPr>
            <w:tcW w:type="dxa" w:w="87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0.8016</w:t>
            </w:r>
          </w:p>
        </w:tc>
        <w:tc>
          <w:tcPr>
            <w:tcW w:type="dxa" w:w="87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0.0242</w:t>
            </w:r>
          </w:p>
        </w:tc>
        <w:tc>
          <w:tcPr>
            <w:tcW w:type="dxa" w:w="87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1.39°</w:t>
            </w:r>
          </w:p>
        </w:tc>
        <w:tc>
          <w:tcPr>
            <w:tcW w:type="dxa" w:w="87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0.0226</w:t>
            </w:r>
          </w:p>
        </w:tc>
      </w:tr>
      <w:tr>
        <w:trPr>
          <w:trHeight w:val="300"/>
        </w:trPr>
        <w:tc>
          <w:tcPr>
            <w:tcW w:type="dxa" w:w="87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OpenSR-SRGAN (Teacher)</w:t>
            </w:r>
          </w:p>
        </w:tc>
        <w:tc>
          <w:tcPr>
            <w:tcW w:type="dxa" w:w="87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1.83M</w:t>
            </w:r>
          </w:p>
        </w:tc>
        <w:tc>
          <w:tcPr>
            <w:tcW w:type="dxa" w:w="87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47.03</w:t>
            </w:r>
          </w:p>
        </w:tc>
        <w:tc>
          <w:tcPr>
            <w:tcW w:type="dxa" w:w="87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~1.1 GB</w:t>
            </w:r>
          </w:p>
        </w:tc>
        <w:tc>
          <w:tcPr>
            <w:tcW w:type="dxa" w:w="87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4 (RGB-NIR)</w:t>
            </w:r>
          </w:p>
        </w:tc>
        <w:tc>
          <w:tcPr>
            <w:tcW w:type="dxa" w:w="87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29.84</w:t>
            </w:r>
          </w:p>
        </w:tc>
        <w:tc>
          <w:tcPr>
            <w:tcW w:type="dxa" w:w="87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0.8412</w:t>
            </w:r>
          </w:p>
        </w:tc>
        <w:tc>
          <w:tcPr>
            <w:tcW w:type="dxa" w:w="87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0.0289</w:t>
            </w:r>
          </w:p>
        </w:tc>
        <w:tc>
          <w:tcPr>
            <w:tcW w:type="dxa" w:w="87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1.66°</w:t>
            </w:r>
          </w:p>
        </w:tc>
        <w:tc>
          <w:tcPr>
            <w:tcW w:type="dxa" w:w="87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0.0245</w:t>
            </w:r>
          </w:p>
        </w:tc>
      </w:tr>
      <w:tr>
        <w:trPr>
          <w:trHeight w:val="300"/>
        </w:trPr>
        <w:tc>
          <w:tcPr>
            <w:tcW w:type="dxa" w:w="87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TriSpecWaveMambaUQ (Ours)</w:t>
            </w:r>
          </w:p>
        </w:tc>
        <w:tc>
          <w:tcPr>
            <w:tcW w:type="dxa" w:w="87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6.17M</w:t>
            </w: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</w:r>
            <w:r>
              <w:rPr>
                <w:rFonts w:ascii="Times New Roman" w:hAnsi="Times New Roman"/>
                <w:b w:val="0"/>
                <w:i/>
                <w:color w:val="14141E"/>
                <w:sz w:val="18"/>
              </w:rPr>
              <w:t>(1.12M base)</w:t>
            </w:r>
          </w:p>
        </w:tc>
        <w:tc>
          <w:tcPr>
            <w:tcW w:type="dxa" w:w="87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24.96</w:t>
            </w:r>
          </w:p>
        </w:tc>
        <w:tc>
          <w:tcPr>
            <w:tcW w:type="dxa" w:w="87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270 MB</w:t>
            </w:r>
          </w:p>
        </w:tc>
        <w:tc>
          <w:tcPr>
            <w:tcW w:type="dxa" w:w="87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12 (All)</w:t>
            </w:r>
          </w:p>
        </w:tc>
        <w:tc>
          <w:tcPr>
            <w:tcW w:type="dxa" w:w="87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32.17</w:t>
            </w:r>
          </w:p>
        </w:tc>
        <w:tc>
          <w:tcPr>
            <w:tcW w:type="dxa" w:w="87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0.8754</w:t>
            </w:r>
          </w:p>
        </w:tc>
        <w:tc>
          <w:tcPr>
            <w:tcW w:type="dxa" w:w="87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0.0198</w:t>
            </w:r>
          </w:p>
        </w:tc>
        <w:tc>
          <w:tcPr>
            <w:tcW w:type="dxa" w:w="87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1.13°</w:t>
            </w:r>
          </w:p>
        </w:tc>
        <w:tc>
          <w:tcPr>
            <w:tcW w:type="dxa" w:w="87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0.0161</w:t>
            </w:r>
          </w:p>
        </w:tc>
      </w:tr>
      <w:tr>
        <w:trPr>
          <w:trHeight w:val="300"/>
        </w:trPr>
        <w:tc>
          <w:tcPr>
            <w:tcW w:type="dxa" w:w="87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/>
                <w:color w:val="14141E"/>
                <w:sz w:val="18"/>
              </w:rPr>
              <w:t>Performance vs. Bicubic</w:t>
            </w:r>
          </w:p>
        </w:tc>
        <w:tc>
          <w:tcPr>
            <w:tcW w:type="dxa" w:w="87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—</w:t>
            </w:r>
          </w:p>
        </w:tc>
        <w:tc>
          <w:tcPr>
            <w:tcW w:type="dxa" w:w="87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—</w:t>
            </w:r>
          </w:p>
        </w:tc>
        <w:tc>
          <w:tcPr>
            <w:tcW w:type="dxa" w:w="87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—</w:t>
            </w:r>
          </w:p>
        </w:tc>
        <w:tc>
          <w:tcPr>
            <w:tcW w:type="dxa" w:w="87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—</w:t>
            </w:r>
          </w:p>
        </w:tc>
        <w:tc>
          <w:tcPr>
            <w:tcW w:type="dxa" w:w="87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/>
                <w:color w:val="14141E"/>
                <w:sz w:val="18"/>
              </w:rPr>
              <w:t>+2.13 dB</w:t>
            </w:r>
          </w:p>
        </w:tc>
        <w:tc>
          <w:tcPr>
            <w:tcW w:type="dxa" w:w="87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/>
                <w:color w:val="14141E"/>
                <w:sz w:val="18"/>
              </w:rPr>
              <w:t>+0.0738</w:t>
            </w:r>
          </w:p>
        </w:tc>
        <w:tc>
          <w:tcPr>
            <w:tcW w:type="dxa" w:w="87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/>
                <w:color w:val="14141E"/>
                <w:sz w:val="18"/>
              </w:rPr>
              <w:t>-18.2%</w:t>
            </w:r>
          </w:p>
        </w:tc>
        <w:tc>
          <w:tcPr>
            <w:tcW w:type="dxa" w:w="87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/>
                <w:color w:val="14141E"/>
                <w:sz w:val="18"/>
              </w:rPr>
              <w:t>-18.2%</w:t>
            </w:r>
          </w:p>
        </w:tc>
        <w:tc>
          <w:tcPr>
            <w:tcW w:type="dxa" w:w="87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/>
                <w:color w:val="14141E"/>
                <w:sz w:val="18"/>
              </w:rPr>
              <w:t>-28.7%</w:t>
            </w:r>
          </w:p>
        </w:tc>
      </w:tr>
      <w:tr>
        <w:trPr>
          <w:trHeight w:val="300"/>
        </w:trPr>
        <w:tc>
          <w:tcPr>
            <w:tcW w:type="dxa" w:w="87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/>
                <w:color w:val="14141E"/>
                <w:sz w:val="18"/>
              </w:rPr>
              <w:t>Performance vs. Teacher</w:t>
            </w:r>
          </w:p>
        </w:tc>
        <w:tc>
          <w:tcPr>
            <w:tcW w:type="dxa" w:w="87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—</w:t>
            </w:r>
          </w:p>
        </w:tc>
        <w:tc>
          <w:tcPr>
            <w:tcW w:type="dxa" w:w="87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/>
                <w:color w:val="14141E"/>
                <w:sz w:val="18"/>
              </w:rPr>
              <w:t>1.88x Faster</w:t>
            </w:r>
          </w:p>
        </w:tc>
        <w:tc>
          <w:tcPr>
            <w:tcW w:type="dxa" w:w="87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/>
                <w:color w:val="14141E"/>
                <w:sz w:val="18"/>
              </w:rPr>
              <w:t>4x Less VRAM</w:t>
            </w:r>
          </w:p>
        </w:tc>
        <w:tc>
          <w:tcPr>
            <w:tcW w:type="dxa" w:w="87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/>
                <w:color w:val="14141E"/>
                <w:sz w:val="18"/>
              </w:rPr>
              <w:t>+8 Bands</w:t>
            </w:r>
          </w:p>
        </w:tc>
        <w:tc>
          <w:tcPr>
            <w:tcW w:type="dxa" w:w="87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/>
                <w:color w:val="14141E"/>
                <w:sz w:val="18"/>
              </w:rPr>
              <w:t>+2.33 dB</w:t>
            </w:r>
          </w:p>
        </w:tc>
        <w:tc>
          <w:tcPr>
            <w:tcW w:type="dxa" w:w="87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/>
                <w:color w:val="14141E"/>
                <w:sz w:val="18"/>
              </w:rPr>
              <w:t>+0.0342</w:t>
            </w:r>
          </w:p>
        </w:tc>
        <w:tc>
          <w:tcPr>
            <w:tcW w:type="dxa" w:w="87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/>
                <w:color w:val="14141E"/>
                <w:sz w:val="18"/>
              </w:rPr>
              <w:t>-31.5%</w:t>
            </w:r>
          </w:p>
        </w:tc>
        <w:tc>
          <w:tcPr>
            <w:tcW w:type="dxa" w:w="87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/>
                <w:color w:val="14141E"/>
                <w:sz w:val="18"/>
              </w:rPr>
              <w:t>-31.5%</w:t>
            </w:r>
          </w:p>
        </w:tc>
        <w:tc>
          <w:tcPr>
            <w:tcW w:type="dxa" w:w="87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/>
                <w:color w:val="14141E"/>
                <w:sz w:val="18"/>
              </w:rPr>
              <w:t>-34.3%</w:t>
            </w:r>
          </w:p>
        </w:tc>
      </w:tr>
    </w:tbl>
    <w:p>
      <w:pPr>
        <w:spacing w:before="0" w:after="160"/>
      </w:pPr>
    </w:p>
    <w:p>
      <w:pPr>
        <w:spacing w:before="40" w:after="80" w:line="288" w:lineRule="auto"/>
        <w:jc w:val="both"/>
      </w:pPr>
      <w:r>
        <w:rPr>
          <w:rFonts w:ascii="Times New Roman" w:hAnsi="Times New Roman"/>
          <w:b w:val="0"/>
          <w:i w:val="0"/>
          <w:color w:val="14141E"/>
          <w:sz w:val="21"/>
        </w:rPr>
        <w:t>As shown in Table II, TriSpecWaveMambaUQ outperforms Bicubic interpolation by</w:t>
      </w:r>
      <w:r>
        <w:rPr>
          <w:rFonts w:ascii="Times New Roman" w:hAnsi="Times New Roman"/>
          <w:b/>
          <w:i w:val="0"/>
          <w:color w:val="14141E"/>
          <w:sz w:val="21"/>
        </w:rPr>
        <w:t>[MATH:+2.13 dB:MATH] PSNR</w:t>
      </w:r>
      <w:r>
        <w:rPr>
          <w:rFonts w:ascii="Times New Roman" w:hAnsi="Times New Roman"/>
          <w:b w:val="0"/>
          <w:i w:val="0"/>
          <w:color w:val="14141E"/>
          <w:sz w:val="21"/>
        </w:rPr>
        <w:t>and</w:t>
      </w:r>
      <w:r>
        <w:rPr>
          <w:rFonts w:ascii="Times New Roman" w:hAnsi="Times New Roman"/>
          <w:b/>
          <w:i w:val="0"/>
          <w:color w:val="14141E"/>
          <w:sz w:val="21"/>
        </w:rPr>
        <w:t>[MATH:+0.0738:MATH] SSIM</w:t>
      </w:r>
      <w:r>
        <w:rPr>
          <w:rFonts w:ascii="Times New Roman" w:hAnsi="Times New Roman"/>
          <w:b w:val="0"/>
          <w:i w:val="0"/>
          <w:color w:val="14141E"/>
          <w:sz w:val="21"/>
        </w:rPr>
        <w:t>, while cutting SAM spectral error by</w:t>
      </w:r>
      <w:r>
        <w:rPr>
          <w:rFonts w:ascii="Times New Roman" w:hAnsi="Times New Roman"/>
          <w:b/>
          <w:i w:val="0"/>
          <w:color w:val="14141E"/>
          <w:sz w:val="21"/>
        </w:rPr>
        <w:t>[MATH:18.2\%:MATH]</w:t>
      </w:r>
      <w:r>
        <w:rPr>
          <w:rFonts w:ascii="Times New Roman" w:hAnsi="Times New Roman"/>
          <w:b w:val="0"/>
          <w:i w:val="0"/>
          <w:color w:val="14141E"/>
          <w:sz w:val="21"/>
        </w:rPr>
        <w:t>and NDVI MAE by</w:t>
      </w:r>
      <w:r>
        <w:rPr>
          <w:rFonts w:ascii="Times New Roman" w:hAnsi="Times New Roman"/>
          <w:b/>
          <w:i w:val="0"/>
          <w:color w:val="14141E"/>
          <w:sz w:val="21"/>
        </w:rPr>
        <w:t>[MATH:28.7\%:MATH]</w:t>
      </w:r>
      <w:r>
        <w:rPr>
          <w:rFonts w:ascii="Times New Roman" w:hAnsi="Times New Roman"/>
          <w:b w:val="0"/>
          <w:i w:val="0"/>
          <w:color w:val="14141E"/>
          <w:sz w:val="21"/>
        </w:rPr>
        <w:t>. Compared to OpenSR-SRGAN, our architecture is nearly</w:t>
      </w:r>
      <w:r>
        <w:rPr>
          <w:rFonts w:ascii="Cambria Math" w:hAnsi="Cambria Math"/>
          <w:b w:val="0"/>
          <w:i/>
          <w:color w:val="0F2864"/>
          <w:sz w:val="21"/>
        </w:rPr>
        <w:t>2×</w:t>
      </w:r>
      <w:r>
        <w:rPr>
          <w:rFonts w:ascii="Times New Roman" w:hAnsi="Times New Roman"/>
          <w:b w:val="0"/>
          <w:i w:val="0"/>
          <w:color w:val="14141E"/>
          <w:sz w:val="21"/>
        </w:rPr>
        <w:t>faster, uses</w:t>
      </w:r>
      <w:r>
        <w:rPr>
          <w:rFonts w:ascii="Cambria Math" w:hAnsi="Cambria Math"/>
          <w:b w:val="0"/>
          <w:i/>
          <w:color w:val="0F2864"/>
          <w:sz w:val="21"/>
        </w:rPr>
        <w:t>75\%</w:t>
      </w:r>
      <w:r>
        <w:rPr>
          <w:rFonts w:ascii="Times New Roman" w:hAnsi="Times New Roman"/>
          <w:b w:val="0"/>
          <w:i w:val="0"/>
          <w:color w:val="14141E"/>
          <w:sz w:val="21"/>
        </w:rPr>
        <w:t>less VRAM, and scales super-resolution to</w:t>
      </w:r>
      <w:r>
        <w:rPr>
          <w:rFonts w:ascii="Times New Roman" w:hAnsi="Times New Roman"/>
          <w:b/>
          <w:i w:val="0"/>
          <w:color w:val="14141E"/>
          <w:sz w:val="21"/>
        </w:rPr>
        <w:t>all 12 bands simultaneously</w:t>
      </w:r>
      <w:r>
        <w:rPr>
          <w:rFonts w:ascii="Times New Roman" w:hAnsi="Times New Roman"/>
          <w:b w:val="0"/>
          <w:i w:val="0"/>
          <w:color w:val="14141E"/>
          <w:sz w:val="21"/>
        </w:rPr>
        <w:t>.</w:t>
      </w:r>
    </w:p>
    <w:p>
      <w:pPr>
        <w:keepNext/>
        <w:spacing w:before="2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67474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ne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747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Times New Roman" w:hAnsi="Times New Roman"/>
          <w:b/>
          <w:i w:val="0"/>
          <w:color w:val="5A5A6E"/>
          <w:sz w:val="19"/>
        </w:rPr>
        <w:t>Figure 3:</w:t>
      </w:r>
      <w:r>
        <w:rPr>
          <w:rFonts w:ascii="Times New Roman" w:hAnsi="Times New Roman"/>
          <w:b w:val="0"/>
          <w:i/>
          <w:color w:val="5A5A6E"/>
          <w:sz w:val="19"/>
        </w:rPr>
      </w:r>
      <w:r>
        <w:rPr>
          <w:rFonts w:ascii="Times New Roman" w:hAnsi="Times New Roman"/>
          <w:b w:val="0"/>
          <w:i/>
          <w:color w:val="5A5A6E"/>
          <w:sz w:val="19"/>
        </w:rPr>
        <w:t>Qualitative Super-Resolution Comparison over Pune Metropolitan Region (10m -&gt; 2.5m). From left to right: Low-resolution Bicubic interpolation, OpenSR-SRGAN Teacher output, TriSpecWaveMambaUQ (Ours), and the High-Resolution Reference Target. Notice the sharp building outlines and crisp agricultural parcel boundaries without generative GAN artifacts.</w:t>
      </w:r>
    </w:p>
    <w:p>
      <w:pPr>
        <w:spacing w:before="200" w:after="60"/>
      </w:pPr>
      <w:r>
        <w:rPr>
          <w:rFonts w:ascii="Times New Roman" w:hAnsi="Times New Roman"/>
          <w:b/>
          <w:i/>
          <w:color w:val="19529C"/>
          <w:sz w:val="22"/>
        </w:rPr>
        <w:t>Table III: Per-Band Mean Absolute Error (MAE) across Native Sensor Groups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8"/>
        <w:gridCol w:w="1098"/>
        <w:gridCol w:w="1098"/>
        <w:gridCol w:w="1098"/>
        <w:gridCol w:w="1098"/>
        <w:gridCol w:w="1098"/>
        <w:gridCol w:w="1098"/>
        <w:gridCol w:w="1098"/>
      </w:tblGrid>
      <w:tr>
        <w:trPr>
          <w:trHeight w:val="360"/>
        </w:trPr>
        <w:tc>
          <w:tcPr>
            <w:tcW w:type="dxa" w:w="1098"/>
            <w:vAlign w:val="center"/>
            <w:shd w:val="clear" w:color="auto" w:fill="1B365D"/>
            <w:tcBorders>
              <w:top w:val="single" w:sz="4" w:space="0" w:color="2C4D75"/>
              <w:left w:val="single" w:sz="4" w:space="0" w:color="2C4D75"/>
              <w:bottom w:val="single" w:sz="4" w:space="0" w:color="2C4D75"/>
              <w:right w:val="single" w:sz="4" w:space="0" w:color="2C4D7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Band Group</w:t>
            </w:r>
          </w:p>
        </w:tc>
        <w:tc>
          <w:tcPr>
            <w:tcW w:type="dxa" w:w="1098"/>
            <w:vAlign w:val="center"/>
            <w:shd w:val="clear" w:color="auto" w:fill="1B365D"/>
            <w:tcBorders>
              <w:top w:val="single" w:sz="4" w:space="0" w:color="2C4D75"/>
              <w:left w:val="single" w:sz="4" w:space="0" w:color="2C4D75"/>
              <w:bottom w:val="single" w:sz="4" w:space="0" w:color="2C4D75"/>
              <w:right w:val="single" w:sz="4" w:space="0" w:color="2C4D7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Band</w:t>
            </w:r>
          </w:p>
        </w:tc>
        <w:tc>
          <w:tcPr>
            <w:tcW w:type="dxa" w:w="1098"/>
            <w:vAlign w:val="center"/>
            <w:shd w:val="clear" w:color="auto" w:fill="1B365D"/>
            <w:tcBorders>
              <w:top w:val="single" w:sz="4" w:space="0" w:color="2C4D75"/>
              <w:left w:val="single" w:sz="4" w:space="0" w:color="2C4D75"/>
              <w:bottom w:val="single" w:sz="4" w:space="0" w:color="2C4D75"/>
              <w:right w:val="single" w:sz="4" w:space="0" w:color="2C4D7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1098"/>
            <w:vAlign w:val="center"/>
            <w:shd w:val="clear" w:color="auto" w:fill="1B365D"/>
            <w:tcBorders>
              <w:top w:val="single" w:sz="4" w:space="0" w:color="2C4D75"/>
              <w:left w:val="single" w:sz="4" w:space="0" w:color="2C4D75"/>
              <w:bottom w:val="single" w:sz="4" w:space="0" w:color="2C4D75"/>
              <w:right w:val="single" w:sz="4" w:space="0" w:color="2C4D7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Wavelength (</w:t>
            </w:r>
            <w:r>
              <w:rPr>
                <w:rFonts w:ascii="Cambria Math" w:hAnsi="Cambria Math"/>
                <w:b w:val="0"/>
                <w:i/>
                <w:color w:val="0F2864"/>
                <w:sz w:val="18"/>
              </w:rPr>
              <w:t>λ</w:t>
            </w: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)</w:t>
            </w:r>
          </w:p>
        </w:tc>
        <w:tc>
          <w:tcPr>
            <w:tcW w:type="dxa" w:w="1098"/>
            <w:vAlign w:val="center"/>
            <w:shd w:val="clear" w:color="auto" w:fill="1B365D"/>
            <w:tcBorders>
              <w:top w:val="single" w:sz="4" w:space="0" w:color="2C4D75"/>
              <w:left w:val="single" w:sz="4" w:space="0" w:color="2C4D75"/>
              <w:bottom w:val="single" w:sz="4" w:space="0" w:color="2C4D75"/>
              <w:right w:val="single" w:sz="4" w:space="0" w:color="2C4D7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Native GSD</w:t>
            </w:r>
          </w:p>
        </w:tc>
        <w:tc>
          <w:tcPr>
            <w:tcW w:type="dxa" w:w="1098"/>
            <w:vAlign w:val="center"/>
            <w:shd w:val="clear" w:color="auto" w:fill="1B365D"/>
            <w:tcBorders>
              <w:top w:val="single" w:sz="4" w:space="0" w:color="2C4D75"/>
              <w:left w:val="single" w:sz="4" w:space="0" w:color="2C4D75"/>
              <w:bottom w:val="single" w:sz="4" w:space="0" w:color="2C4D75"/>
              <w:right w:val="single" w:sz="4" w:space="0" w:color="2C4D7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Bicubic MAE</w:t>
            </w:r>
          </w:p>
        </w:tc>
        <w:tc>
          <w:tcPr>
            <w:tcW w:type="dxa" w:w="1098"/>
            <w:vAlign w:val="center"/>
            <w:shd w:val="clear" w:color="auto" w:fill="1B365D"/>
            <w:tcBorders>
              <w:top w:val="single" w:sz="4" w:space="0" w:color="2C4D75"/>
              <w:left w:val="single" w:sz="4" w:space="0" w:color="2C4D75"/>
              <w:bottom w:val="single" w:sz="4" w:space="0" w:color="2C4D75"/>
              <w:right w:val="single" w:sz="4" w:space="0" w:color="2C4D7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Ours MAE</w:t>
            </w:r>
          </w:p>
        </w:tc>
        <w:tc>
          <w:tcPr>
            <w:tcW w:type="dxa" w:w="1098"/>
            <w:vAlign w:val="center"/>
            <w:shd w:val="clear" w:color="auto" w:fill="1B365D"/>
            <w:tcBorders>
              <w:top w:val="single" w:sz="4" w:space="0" w:color="2C4D75"/>
              <w:left w:val="single" w:sz="4" w:space="0" w:color="2C4D75"/>
              <w:bottom w:val="single" w:sz="4" w:space="0" w:color="2C4D75"/>
              <w:right w:val="single" w:sz="4" w:space="0" w:color="2C4D7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Improvement</w:t>
            </w:r>
          </w:p>
        </w:tc>
      </w:tr>
      <w:tr>
        <w:trPr>
          <w:trHeight w:val="300"/>
        </w:trPr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[MATH:10 m:MATH] VNIR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B2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Blue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Cambria Math" w:hAnsi="Cambria Math"/>
                <w:b w:val="0"/>
                <w:i/>
                <w:color w:val="0F2864"/>
                <w:sz w:val="18"/>
              </w:rPr>
              <w:t>490 nm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Cambria Math" w:hAnsi="Cambria Math"/>
                <w:b w:val="0"/>
                <w:i/>
                <w:color w:val="0F2864"/>
                <w:sz w:val="18"/>
              </w:rPr>
              <w:t>10 m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0.0142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0.0094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-33.8%</w:t>
            </w:r>
          </w:p>
        </w:tc>
      </w:tr>
      <w:tr>
        <w:trPr>
          <w:trHeight w:val="300"/>
        </w:trPr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B3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Green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Cambria Math" w:hAnsi="Cambria Math"/>
                <w:b w:val="0"/>
                <w:i/>
                <w:color w:val="0F2864"/>
                <w:sz w:val="18"/>
              </w:rPr>
              <w:t>560 nm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Cambria Math" w:hAnsi="Cambria Math"/>
                <w:b w:val="0"/>
                <w:i/>
                <w:color w:val="0F2864"/>
                <w:sz w:val="18"/>
              </w:rPr>
              <w:t>10 m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0.0158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0.0108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-31.6%</w:t>
            </w:r>
          </w:p>
        </w:tc>
      </w:tr>
      <w:tr>
        <w:trPr>
          <w:trHeight w:val="300"/>
        </w:trPr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B4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Red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Cambria Math" w:hAnsi="Cambria Math"/>
                <w:b w:val="0"/>
                <w:i/>
                <w:color w:val="0F2864"/>
                <w:sz w:val="18"/>
              </w:rPr>
              <w:t>665 nm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Cambria Math" w:hAnsi="Cambria Math"/>
                <w:b w:val="0"/>
                <w:i/>
                <w:color w:val="0F2864"/>
                <w:sz w:val="18"/>
              </w:rPr>
              <w:t>10 m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0.0184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0.0121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-34.2%</w:t>
            </w:r>
          </w:p>
        </w:tc>
      </w:tr>
      <w:tr>
        <w:trPr>
          <w:trHeight w:val="300"/>
        </w:trPr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B8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Broad NIR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Cambria Math" w:hAnsi="Cambria Math"/>
                <w:b w:val="0"/>
                <w:i/>
                <w:color w:val="0F2864"/>
                <w:sz w:val="18"/>
              </w:rPr>
              <w:t>842 nm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Cambria Math" w:hAnsi="Cambria Math"/>
                <w:b w:val="0"/>
                <w:i/>
                <w:color w:val="0F2864"/>
                <w:sz w:val="18"/>
              </w:rPr>
              <w:t>10 m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0.0245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0.0168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-31.4%</w:t>
            </w:r>
          </w:p>
        </w:tc>
      </w:tr>
      <w:tr>
        <w:trPr>
          <w:trHeight w:val="300"/>
        </w:trPr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[MATH:20 m:MATH] Red Edge / SWIR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B5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Red Edge 1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Cambria Math" w:hAnsi="Cambria Math"/>
                <w:b w:val="0"/>
                <w:i/>
                <w:color w:val="0F2864"/>
                <w:sz w:val="18"/>
              </w:rPr>
              <w:t>705 nm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Cambria Math" w:hAnsi="Cambria Math"/>
                <w:b w:val="0"/>
                <w:i/>
                <w:color w:val="0F2864"/>
                <w:sz w:val="18"/>
              </w:rPr>
              <w:t>20 m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0.0210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0.0145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-31.0%</w:t>
            </w:r>
          </w:p>
        </w:tc>
      </w:tr>
      <w:tr>
        <w:trPr>
          <w:trHeight w:val="300"/>
        </w:trPr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B6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Red Edge 2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Cambria Math" w:hAnsi="Cambria Math"/>
                <w:b w:val="0"/>
                <w:i/>
                <w:color w:val="0F2864"/>
                <w:sz w:val="18"/>
              </w:rPr>
              <w:t>740 nm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Cambria Math" w:hAnsi="Cambria Math"/>
                <w:b w:val="0"/>
                <w:i/>
                <w:color w:val="0F2864"/>
                <w:sz w:val="18"/>
              </w:rPr>
              <w:t>20 m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0.0272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0.0191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-29.8%</w:t>
            </w:r>
          </w:p>
        </w:tc>
      </w:tr>
      <w:tr>
        <w:trPr>
          <w:trHeight w:val="300"/>
        </w:trPr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B7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Red Edge 3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Cambria Math" w:hAnsi="Cambria Math"/>
                <w:b w:val="0"/>
                <w:i/>
                <w:color w:val="0F2864"/>
                <w:sz w:val="18"/>
              </w:rPr>
              <w:t>783 nm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Cambria Math" w:hAnsi="Cambria Math"/>
                <w:b w:val="0"/>
                <w:i/>
                <w:color w:val="0F2864"/>
                <w:sz w:val="18"/>
              </w:rPr>
              <w:t>20 m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0.0298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0.0211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-29.2%</w:t>
            </w:r>
          </w:p>
        </w:tc>
      </w:tr>
      <w:tr>
        <w:trPr>
          <w:trHeight w:val="300"/>
        </w:trPr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B8A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Narrow NIR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Cambria Math" w:hAnsi="Cambria Math"/>
                <w:b w:val="0"/>
                <w:i/>
                <w:color w:val="0F2864"/>
                <w:sz w:val="18"/>
              </w:rPr>
              <w:t>865 nm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Cambria Math" w:hAnsi="Cambria Math"/>
                <w:b w:val="0"/>
                <w:i/>
                <w:color w:val="0F2864"/>
                <w:sz w:val="18"/>
              </w:rPr>
              <w:t>20 m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0.0312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0.0224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-28.2%</w:t>
            </w:r>
          </w:p>
        </w:tc>
      </w:tr>
      <w:tr>
        <w:trPr>
          <w:trHeight w:val="300"/>
        </w:trPr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B11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SWIR-1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Cambria Math" w:hAnsi="Cambria Math"/>
                <w:b w:val="0"/>
                <w:i/>
                <w:color w:val="0F2864"/>
                <w:sz w:val="18"/>
              </w:rPr>
              <w:t>1610 nm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Cambria Math" w:hAnsi="Cambria Math"/>
                <w:b w:val="0"/>
                <w:i/>
                <w:color w:val="0F2864"/>
                <w:sz w:val="18"/>
              </w:rPr>
              <w:t>20 m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0.0264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0.0182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-31.1%</w:t>
            </w:r>
          </w:p>
        </w:tc>
      </w:tr>
      <w:tr>
        <w:trPr>
          <w:trHeight w:val="300"/>
        </w:trPr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B12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SWIR-2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Cambria Math" w:hAnsi="Cambria Math"/>
                <w:b w:val="0"/>
                <w:i/>
                <w:color w:val="0F2864"/>
                <w:sz w:val="18"/>
              </w:rPr>
              <w:t>2190 nm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Cambria Math" w:hAnsi="Cambria Math"/>
                <w:b w:val="0"/>
                <w:i/>
                <w:color w:val="0F2864"/>
                <w:sz w:val="18"/>
              </w:rPr>
              <w:t>20 m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0.0221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0.0153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-30.8%</w:t>
            </w:r>
          </w:p>
        </w:tc>
      </w:tr>
      <w:tr>
        <w:trPr>
          <w:trHeight w:val="300"/>
        </w:trPr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[MATH:60 m:MATH] Atmospheric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B1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Coastal Aerosol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Cambria Math" w:hAnsi="Cambria Math"/>
                <w:b w:val="0"/>
                <w:i/>
                <w:color w:val="0F2864"/>
                <w:sz w:val="18"/>
              </w:rPr>
              <w:t>443 nm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Cambria Math" w:hAnsi="Cambria Math"/>
                <w:b w:val="0"/>
                <w:i/>
                <w:color w:val="0F2864"/>
                <w:sz w:val="18"/>
              </w:rPr>
              <w:t>60 m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0.0125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0.0089</w:t>
            </w:r>
          </w:p>
        </w:tc>
        <w:tc>
          <w:tcPr>
            <w:tcW w:type="dxa" w:w="1098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-28.8%</w:t>
            </w:r>
          </w:p>
        </w:tc>
      </w:tr>
      <w:tr>
        <w:trPr>
          <w:trHeight w:val="300"/>
        </w:trPr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B9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Water Vapor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Cambria Math" w:hAnsi="Cambria Math"/>
                <w:b w:val="0"/>
                <w:i/>
                <w:color w:val="0F2864"/>
                <w:sz w:val="18"/>
              </w:rPr>
              <w:t>945 nm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Cambria Math" w:hAnsi="Cambria Math"/>
                <w:b w:val="0"/>
                <w:i/>
                <w:color w:val="0F2864"/>
                <w:sz w:val="18"/>
              </w:rPr>
              <w:t>60 m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0.0195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0.0139</w:t>
            </w:r>
          </w:p>
        </w:tc>
        <w:tc>
          <w:tcPr>
            <w:tcW w:type="dxa" w:w="1098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-28.7%</w:t>
            </w:r>
          </w:p>
        </w:tc>
      </w:tr>
    </w:tbl>
    <w:p>
      <w:pPr>
        <w:spacing w:before="0" w:after="160"/>
      </w:pPr>
    </w:p>
    <w:p>
      <w:pPr>
        <w:spacing w:before="200" w:after="60"/>
      </w:pPr>
      <w:r>
        <w:rPr>
          <w:rFonts w:ascii="Times New Roman" w:hAnsi="Times New Roman"/>
          <w:b/>
          <w:i/>
          <w:color w:val="19529C"/>
          <w:sz w:val="22"/>
        </w:rPr>
        <w:t>Table IV: Biophysical Index Preservation Fidelity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rPr>
          <w:trHeight w:val="360"/>
        </w:trPr>
        <w:tc>
          <w:tcPr>
            <w:tcW w:type="dxa" w:w="1464"/>
            <w:vAlign w:val="center"/>
            <w:shd w:val="clear" w:color="auto" w:fill="1B365D"/>
            <w:tcBorders>
              <w:top w:val="single" w:sz="4" w:space="0" w:color="2C4D75"/>
              <w:left w:val="single" w:sz="4" w:space="0" w:color="2C4D75"/>
              <w:bottom w:val="single" w:sz="4" w:space="0" w:color="2C4D75"/>
              <w:right w:val="single" w:sz="4" w:space="0" w:color="2C4D7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Index</w:t>
            </w:r>
          </w:p>
        </w:tc>
        <w:tc>
          <w:tcPr>
            <w:tcW w:type="dxa" w:w="1464"/>
            <w:vAlign w:val="center"/>
            <w:shd w:val="clear" w:color="auto" w:fill="1B365D"/>
            <w:tcBorders>
              <w:top w:val="single" w:sz="4" w:space="0" w:color="2C4D75"/>
              <w:left w:val="single" w:sz="4" w:space="0" w:color="2C4D75"/>
              <w:bottom w:val="single" w:sz="4" w:space="0" w:color="2C4D75"/>
              <w:right w:val="single" w:sz="4" w:space="0" w:color="2C4D7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Mathematical Formula</w:t>
            </w:r>
          </w:p>
        </w:tc>
        <w:tc>
          <w:tcPr>
            <w:tcW w:type="dxa" w:w="1464"/>
            <w:vAlign w:val="center"/>
            <w:shd w:val="clear" w:color="auto" w:fill="1B365D"/>
            <w:tcBorders>
              <w:top w:val="single" w:sz="4" w:space="0" w:color="2C4D75"/>
              <w:left w:val="single" w:sz="4" w:space="0" w:color="2C4D75"/>
              <w:bottom w:val="single" w:sz="4" w:space="0" w:color="2C4D75"/>
              <w:right w:val="single" w:sz="4" w:space="0" w:color="2C4D7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Physical Role</w:t>
            </w:r>
          </w:p>
        </w:tc>
        <w:tc>
          <w:tcPr>
            <w:tcW w:type="dxa" w:w="1464"/>
            <w:vAlign w:val="center"/>
            <w:shd w:val="clear" w:color="auto" w:fill="1B365D"/>
            <w:tcBorders>
              <w:top w:val="single" w:sz="4" w:space="0" w:color="2C4D75"/>
              <w:left w:val="single" w:sz="4" w:space="0" w:color="2C4D75"/>
              <w:bottom w:val="single" w:sz="4" w:space="0" w:color="2C4D75"/>
              <w:right w:val="single" w:sz="4" w:space="0" w:color="2C4D7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Bicubic MAE</w:t>
            </w:r>
          </w:p>
        </w:tc>
        <w:tc>
          <w:tcPr>
            <w:tcW w:type="dxa" w:w="1464"/>
            <w:vAlign w:val="center"/>
            <w:shd w:val="clear" w:color="auto" w:fill="1B365D"/>
            <w:tcBorders>
              <w:top w:val="single" w:sz="4" w:space="0" w:color="2C4D75"/>
              <w:left w:val="single" w:sz="4" w:space="0" w:color="2C4D75"/>
              <w:bottom w:val="single" w:sz="4" w:space="0" w:color="2C4D75"/>
              <w:right w:val="single" w:sz="4" w:space="0" w:color="2C4D7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Ours MAE</w:t>
            </w:r>
          </w:p>
        </w:tc>
        <w:tc>
          <w:tcPr>
            <w:tcW w:type="dxa" w:w="1464"/>
            <w:vAlign w:val="center"/>
            <w:shd w:val="clear" w:color="auto" w:fill="1B365D"/>
            <w:tcBorders>
              <w:top w:val="single" w:sz="4" w:space="0" w:color="2C4D75"/>
              <w:left w:val="single" w:sz="4" w:space="0" w:color="2C4D75"/>
              <w:bottom w:val="single" w:sz="4" w:space="0" w:color="2C4D75"/>
              <w:right w:val="single" w:sz="4" w:space="0" w:color="2C4D7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Improvement</w:t>
            </w:r>
          </w:p>
        </w:tc>
      </w:tr>
      <w:tr>
        <w:trPr>
          <w:trHeight w:val="300"/>
        </w:trPr>
        <w:tc>
          <w:tcPr>
            <w:tcW w:type="dxa" w:w="1464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NDVI</w:t>
            </w:r>
          </w:p>
        </w:tc>
        <w:tc>
          <w:tcPr>
            <w:tcW w:type="dxa" w:w="1464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Cambria Math" w:hAnsi="Cambria Math"/>
                <w:b w:val="0"/>
                <w:i/>
                <w:color w:val="0F2864"/>
                <w:sz w:val="18"/>
              </w:rPr>
              <w:t>(B8 - B4) / (B8 + B4)</w:t>
            </w:r>
          </w:p>
        </w:tc>
        <w:tc>
          <w:tcPr>
            <w:tcW w:type="dxa" w:w="1464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Canopy greenness &amp; vegetative vigour</w:t>
            </w:r>
          </w:p>
        </w:tc>
        <w:tc>
          <w:tcPr>
            <w:tcW w:type="dxa" w:w="1464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0.0226</w:t>
            </w:r>
          </w:p>
        </w:tc>
        <w:tc>
          <w:tcPr>
            <w:tcW w:type="dxa" w:w="1464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0.0161</w:t>
            </w:r>
          </w:p>
        </w:tc>
        <w:tc>
          <w:tcPr>
            <w:tcW w:type="dxa" w:w="1464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-28.7%</w:t>
            </w:r>
          </w:p>
        </w:tc>
      </w:tr>
      <w:tr>
        <w:trPr>
          <w:trHeight w:val="300"/>
        </w:trPr>
        <w:tc>
          <w:tcPr>
            <w:tcW w:type="dxa" w:w="1464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NDRE</w:t>
            </w:r>
          </w:p>
        </w:tc>
        <w:tc>
          <w:tcPr>
            <w:tcW w:type="dxa" w:w="1464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Cambria Math" w:hAnsi="Cambria Math"/>
                <w:b w:val="0"/>
                <w:i/>
                <w:color w:val="0F2864"/>
                <w:sz w:val="18"/>
              </w:rPr>
              <w:t>(B8 - B5) / (B8 + B5)</w:t>
            </w:r>
          </w:p>
        </w:tc>
        <w:tc>
          <w:tcPr>
            <w:tcW w:type="dxa" w:w="1464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Chlorophyll content &amp; nitrogen status</w:t>
            </w:r>
          </w:p>
        </w:tc>
        <w:tc>
          <w:tcPr>
            <w:tcW w:type="dxa" w:w="1464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0.0268</w:t>
            </w:r>
          </w:p>
        </w:tc>
        <w:tc>
          <w:tcPr>
            <w:tcW w:type="dxa" w:w="1464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0.0189</w:t>
            </w:r>
          </w:p>
        </w:tc>
        <w:tc>
          <w:tcPr>
            <w:tcW w:type="dxa" w:w="1464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-29.5%</w:t>
            </w:r>
          </w:p>
        </w:tc>
      </w:tr>
      <w:tr>
        <w:trPr>
          <w:trHeight w:val="300"/>
        </w:trPr>
        <w:tc>
          <w:tcPr>
            <w:tcW w:type="dxa" w:w="1464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NDWI</w:t>
            </w:r>
          </w:p>
        </w:tc>
        <w:tc>
          <w:tcPr>
            <w:tcW w:type="dxa" w:w="1464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Cambria Math" w:hAnsi="Cambria Math"/>
                <w:b w:val="0"/>
                <w:i/>
                <w:color w:val="0F2864"/>
                <w:sz w:val="18"/>
              </w:rPr>
              <w:t>(B3 - B8) / (B3 + B8)</w:t>
            </w:r>
          </w:p>
        </w:tc>
        <w:tc>
          <w:tcPr>
            <w:tcW w:type="dxa" w:w="1464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Open surface water delineation</w:t>
            </w:r>
          </w:p>
        </w:tc>
        <w:tc>
          <w:tcPr>
            <w:tcW w:type="dxa" w:w="1464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0.0214</w:t>
            </w:r>
          </w:p>
        </w:tc>
        <w:tc>
          <w:tcPr>
            <w:tcW w:type="dxa" w:w="1464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0.0148</w:t>
            </w:r>
          </w:p>
        </w:tc>
        <w:tc>
          <w:tcPr>
            <w:tcW w:type="dxa" w:w="1464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-30.8%</w:t>
            </w:r>
          </w:p>
        </w:tc>
      </w:tr>
    </w:tbl>
    <w:p>
      <w:pPr>
        <w:spacing w:before="0" w:after="160"/>
      </w:pPr>
    </w:p>
    <w:p>
      <w:pPr>
        <w:spacing w:before="200" w:after="60"/>
      </w:pPr>
      <w:r>
        <w:rPr>
          <w:rFonts w:ascii="Times New Roman" w:hAnsi="Times New Roman"/>
          <w:b/>
          <w:i/>
          <w:color w:val="19529C"/>
          <w:sz w:val="22"/>
        </w:rPr>
        <w:t>E. Qualitative Fidelity &amp; Uncertainty Calibration</w:t>
      </w:r>
    </w:p>
    <w:p>
      <w:pPr>
        <w:spacing w:before="20" w:after="40" w:line="288" w:lineRule="auto"/>
        <w:ind w:left="432" w:hanging="288"/>
      </w:pPr>
      <w:r>
        <w:rPr>
          <w:rFonts w:ascii="Times New Roman" w:hAnsi="Times New Roman"/>
          <w:b/>
          <w:i w:val="0"/>
          <w:color w:val="19529C"/>
          <w:sz w:val="21"/>
        </w:rPr>
        <w:t xml:space="preserve">• </w:t>
      </w:r>
      <w:r>
        <w:rPr>
          <w:rFonts w:ascii="Times New Roman" w:hAnsi="Times New Roman"/>
          <w:b/>
          <w:i w:val="0"/>
          <w:color w:val="14141E"/>
          <w:sz w:val="21"/>
        </w:rPr>
        <w:t>Structural Integrity:</w:t>
      </w:r>
      <w:r>
        <w:rPr>
          <w:rFonts w:ascii="Times New Roman" w:hAnsi="Times New Roman"/>
          <w:b w:val="0"/>
          <w:i w:val="0"/>
          <w:color w:val="14141E"/>
          <w:sz w:val="21"/>
        </w:rPr>
        <w:t>Building footprints, road networks, and agricultural field boundaries exhibit crisp geometric separation without pixelation or high-frequency GAN texture noise.</w:t>
      </w:r>
    </w:p>
    <w:p>
      <w:pPr>
        <w:spacing w:before="20" w:after="40" w:line="288" w:lineRule="auto"/>
        <w:ind w:left="432" w:hanging="288"/>
      </w:pPr>
      <w:r>
        <w:rPr>
          <w:rFonts w:ascii="Times New Roman" w:hAnsi="Times New Roman"/>
          <w:b/>
          <w:i w:val="0"/>
          <w:color w:val="19529C"/>
          <w:sz w:val="21"/>
        </w:rPr>
        <w:t xml:space="preserve">• </w:t>
      </w:r>
      <w:r>
        <w:rPr>
          <w:rFonts w:ascii="Times New Roman" w:hAnsi="Times New Roman"/>
          <w:b/>
          <w:i w:val="0"/>
          <w:color w:val="14141E"/>
          <w:sz w:val="21"/>
        </w:rPr>
        <w:t>Color Infrared (CIR) Evaluation:</w:t>
      </w:r>
      <w:r>
        <w:rPr>
          <w:rFonts w:ascii="Times New Roman" w:hAnsi="Times New Roman"/>
          <w:b w:val="0"/>
          <w:i w:val="0"/>
          <w:color w:val="14141E"/>
          <w:sz w:val="21"/>
        </w:rPr>
        <w:t>As shown in Figure 5, rendering in False Color Infrared (</w:t>
      </w:r>
      <w:r>
        <w:rPr>
          <w:rFonts w:ascii="Cambria Math" w:hAnsi="Cambria Math"/>
          <w:b w:val="0"/>
          <w:i/>
          <w:color w:val="0F2864"/>
          <w:sz w:val="21"/>
        </w:rPr>
        <w:t>RGB ← [B8, B4, B3]</w:t>
      </w:r>
      <w:r>
        <w:rPr>
          <w:rFonts w:ascii="Times New Roman" w:hAnsi="Times New Roman"/>
          <w:b w:val="0"/>
          <w:i w:val="0"/>
          <w:color w:val="14141E"/>
          <w:sz w:val="21"/>
        </w:rPr>
        <w:t>) highlights sharp red-edge boundaries around crop fields, confirming that agricultural spectroscopy is preserved during super-resolution.</w:t>
      </w:r>
    </w:p>
    <w:p>
      <w:pPr>
        <w:spacing w:before="20" w:after="40" w:line="288" w:lineRule="auto"/>
        <w:ind w:left="432" w:hanging="288"/>
      </w:pPr>
      <w:r>
        <w:rPr>
          <w:rFonts w:ascii="Times New Roman" w:hAnsi="Times New Roman"/>
          <w:b/>
          <w:i w:val="0"/>
          <w:color w:val="19529C"/>
          <w:sz w:val="21"/>
        </w:rPr>
        <w:t xml:space="preserve">• </w:t>
      </w:r>
      <w:r>
        <w:rPr>
          <w:rFonts w:ascii="Times New Roman" w:hAnsi="Times New Roman"/>
          <w:b/>
          <w:i w:val="0"/>
          <w:color w:val="14141E"/>
          <w:sz w:val="21"/>
        </w:rPr>
        <w:t>Uncertainty Calibration:</w:t>
      </w:r>
      <w:r>
        <w:rPr>
          <w:rFonts w:ascii="Times New Roman" w:hAnsi="Times New Roman"/>
          <w:b w:val="0"/>
          <w:i w:val="0"/>
          <w:color w:val="14141E"/>
          <w:sz w:val="21"/>
        </w:rPr>
        <w:t>Predicted aleatoric variance</w:t>
      </w:r>
      <w:r>
        <w:rPr>
          <w:rFonts w:ascii="Cambria Math" w:hAnsi="Cambria Math"/>
          <w:b w:val="0"/>
          <w:i/>
          <w:color w:val="0F2864"/>
          <w:sz w:val="21"/>
        </w:rPr>
        <w:t>σ²</w:t>
      </w:r>
      <w:r>
        <w:rPr>
          <w:rFonts w:ascii="Times New Roman" w:hAnsi="Times New Roman"/>
          <w:b w:val="0"/>
          <w:i w:val="0"/>
          <w:color w:val="14141E"/>
          <w:sz w:val="21"/>
        </w:rPr>
        <w:t>(Figure 4) remains low in homogeneous terrain (</w:t>
      </w:r>
      <w:r>
        <w:rPr>
          <w:rFonts w:ascii="Cambria Math" w:hAnsi="Cambria Math"/>
          <w:b w:val="0"/>
          <w:i/>
          <w:color w:val="0F2864"/>
          <w:sz w:val="21"/>
        </w:rPr>
        <w:t>σ_b² &lt; 0.002</w:t>
      </w:r>
      <w:r>
        <w:rPr>
          <w:rFonts w:ascii="Times New Roman" w:hAnsi="Times New Roman"/>
          <w:b w:val="0"/>
          <w:i w:val="0"/>
          <w:color w:val="14141E"/>
          <w:sz w:val="21"/>
        </w:rPr>
        <w:t>in water and uniform crop canopies) and cleanly spikes along complex parcel transitions, building edges (</w:t>
      </w:r>
      <w:r>
        <w:rPr>
          <w:rFonts w:ascii="Cambria Math" w:hAnsi="Cambria Math"/>
          <w:b w:val="0"/>
          <w:i/>
          <w:color w:val="0F2864"/>
          <w:sz w:val="21"/>
        </w:rPr>
        <w:t>σ_b² ∈ [0.015, 0.045]</w:t>
      </w:r>
      <w:r>
        <w:rPr>
          <w:rFonts w:ascii="Times New Roman" w:hAnsi="Times New Roman"/>
          <w:b w:val="0"/>
          <w:i w:val="0"/>
          <w:color w:val="14141E"/>
          <w:sz w:val="21"/>
        </w:rPr>
        <w:t>), and semi-transparent cloud fringes. The Spearman rank correlation between</w:t>
      </w:r>
      <w:r>
        <w:rPr>
          <w:rFonts w:ascii="Cambria Math" w:hAnsi="Cambria Math"/>
          <w:b w:val="0"/>
          <w:i/>
          <w:color w:val="0F2864"/>
          <w:sz w:val="21"/>
        </w:rPr>
        <w:t>σ²</w:t>
      </w:r>
      <w:r>
        <w:rPr>
          <w:rFonts w:ascii="Times New Roman" w:hAnsi="Times New Roman"/>
          <w:b w:val="0"/>
          <w:i w:val="0"/>
          <w:color w:val="14141E"/>
          <w:sz w:val="21"/>
        </w:rPr>
        <w:t>and absolute residual error reaches</w:t>
      </w:r>
      <w:r>
        <w:rPr>
          <w:rFonts w:ascii="Cambria Math" w:hAnsi="Cambria Math"/>
          <w:b w:val="0"/>
          <w:i/>
          <w:color w:val="0F2864"/>
          <w:sz w:val="21"/>
        </w:rPr>
        <w:t>ρ = 0.764</w:t>
      </w:r>
      <w:r>
        <w:rPr>
          <w:rFonts w:ascii="Times New Roman" w:hAnsi="Times New Roman"/>
          <w:b w:val="0"/>
          <w:i w:val="0"/>
          <w:color w:val="14141E"/>
          <w:sz w:val="21"/>
        </w:rPr>
        <w:t>, confirming well-calibrated confidence bounds.</w:t>
      </w:r>
    </w:p>
    <w:p>
      <w:pPr>
        <w:keepNext/>
        <w:spacing w:before="2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69871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ne_uncertain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987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Times New Roman" w:hAnsi="Times New Roman"/>
          <w:b/>
          <w:i w:val="0"/>
          <w:color w:val="5A5A6E"/>
          <w:sz w:val="19"/>
        </w:rPr>
        <w:t>Figure 4:</w:t>
      </w:r>
      <w:r>
        <w:rPr>
          <w:rFonts w:ascii="Times New Roman" w:hAnsi="Times New Roman"/>
          <w:b w:val="0"/>
          <w:i/>
          <w:color w:val="5A5A6E"/>
          <w:sz w:val="19"/>
        </w:rPr>
      </w:r>
      <w:r>
        <w:rPr>
          <w:rFonts w:ascii="Times New Roman" w:hAnsi="Times New Roman"/>
          <w:b w:val="0"/>
          <w:i/>
          <w:color w:val="5A5A6E"/>
          <w:sz w:val="19"/>
        </w:rPr>
        <w:t>Calibrated Aleatoric Uncertainty Heatmaps ([MATH:σ²:MATH]) across Test Scenes. Notice how uncertainty remains near zero over homogeneous water bodies and agricultural fields, while automatically spiking along ambiguous building silhouettes, parcel boundaries, and atmospheric cloud fringes.</w:t>
      </w:r>
    </w:p>
    <w:p>
      <w:pPr>
        <w:keepNext/>
        <w:spacing w:before="2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156938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ne_student_rgb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693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Times New Roman" w:hAnsi="Times New Roman"/>
          <w:b/>
          <w:i w:val="0"/>
          <w:color w:val="5A5A6E"/>
          <w:sz w:val="19"/>
        </w:rPr>
        <w:t>Figure 5:</w:t>
      </w:r>
      <w:r>
        <w:rPr>
          <w:rFonts w:ascii="Times New Roman" w:hAnsi="Times New Roman"/>
          <w:b w:val="0"/>
          <w:i/>
          <w:color w:val="5A5A6E"/>
          <w:sz w:val="19"/>
        </w:rPr>
      </w:r>
      <w:r>
        <w:rPr>
          <w:rFonts w:ascii="Times New Roman" w:hAnsi="Times New Roman"/>
          <w:b w:val="0"/>
          <w:i/>
          <w:color w:val="5A5A6E"/>
          <w:sz w:val="19"/>
        </w:rPr>
        <w:t>False Color Infrared Composite (CIR: NIR Band 8 in Red, Red Band 4 in Green, Green Band 3 in Blue). Demonstrates the preservation of sharp vegetation canopy chlorophyll boundaries and urban infrastructure edges.</w:t>
      </w:r>
    </w:p>
    <w:p>
      <w:pPr>
        <w:spacing w:before="200" w:after="60"/>
      </w:pPr>
      <w:r>
        <w:rPr>
          <w:rFonts w:ascii="Times New Roman" w:hAnsi="Times New Roman"/>
          <w:b/>
          <w:i/>
          <w:color w:val="19529C"/>
          <w:sz w:val="22"/>
        </w:rPr>
        <w:t>F. Architectural Ablation Studies</w:t>
      </w:r>
    </w:p>
    <w:p>
      <w:pPr>
        <w:spacing w:before="200" w:after="60"/>
      </w:pPr>
      <w:r>
        <w:rPr>
          <w:rFonts w:ascii="Times New Roman" w:hAnsi="Times New Roman"/>
          <w:b/>
          <w:i/>
          <w:color w:val="19529C"/>
          <w:sz w:val="22"/>
        </w:rPr>
        <w:t>Table V: Comprehensive Component Ablation Studies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6"/>
        <w:gridCol w:w="976"/>
        <w:gridCol w:w="976"/>
        <w:gridCol w:w="976"/>
        <w:gridCol w:w="976"/>
        <w:gridCol w:w="976"/>
        <w:gridCol w:w="976"/>
        <w:gridCol w:w="976"/>
        <w:gridCol w:w="976"/>
      </w:tblGrid>
      <w:tr>
        <w:trPr>
          <w:trHeight w:val="360"/>
        </w:trPr>
        <w:tc>
          <w:tcPr>
            <w:tcW w:type="dxa" w:w="976"/>
            <w:vAlign w:val="center"/>
            <w:shd w:val="clear" w:color="auto" w:fill="1B365D"/>
            <w:tcBorders>
              <w:top w:val="single" w:sz="4" w:space="0" w:color="2C4D75"/>
              <w:left w:val="single" w:sz="4" w:space="0" w:color="2C4D75"/>
              <w:bottom w:val="single" w:sz="4" w:space="0" w:color="2C4D75"/>
              <w:right w:val="single" w:sz="4" w:space="0" w:color="2C4D7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Configuration</w:t>
            </w:r>
          </w:p>
        </w:tc>
        <w:tc>
          <w:tcPr>
            <w:tcW w:type="dxa" w:w="976"/>
            <w:vAlign w:val="center"/>
            <w:shd w:val="clear" w:color="auto" w:fill="1B365D"/>
            <w:tcBorders>
              <w:top w:val="single" w:sz="4" w:space="0" w:color="2C4D75"/>
              <w:left w:val="single" w:sz="4" w:space="0" w:color="2C4D75"/>
              <w:bottom w:val="single" w:sz="4" w:space="0" w:color="2C4D75"/>
              <w:right w:val="single" w:sz="4" w:space="0" w:color="2C4D7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Wavelet Decoupling</w:t>
            </w:r>
          </w:p>
        </w:tc>
        <w:tc>
          <w:tcPr>
            <w:tcW w:type="dxa" w:w="976"/>
            <w:vAlign w:val="center"/>
            <w:shd w:val="clear" w:color="auto" w:fill="1B365D"/>
            <w:tcBorders>
              <w:top w:val="single" w:sz="4" w:space="0" w:color="2C4D75"/>
              <w:left w:val="single" w:sz="4" w:space="0" w:color="2C4D75"/>
              <w:bottom w:val="single" w:sz="4" w:space="0" w:color="2C4D75"/>
              <w:right w:val="single" w:sz="4" w:space="0" w:color="2C4D7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MTF Sensor Loss</w:t>
            </w:r>
          </w:p>
        </w:tc>
        <w:tc>
          <w:tcPr>
            <w:tcW w:type="dxa" w:w="976"/>
            <w:vAlign w:val="center"/>
            <w:shd w:val="clear" w:color="auto" w:fill="1B365D"/>
            <w:tcBorders>
              <w:top w:val="single" w:sz="4" w:space="0" w:color="2C4D75"/>
              <w:left w:val="single" w:sz="4" w:space="0" w:color="2C4D75"/>
              <w:bottom w:val="single" w:sz="4" w:space="0" w:color="2C4D75"/>
              <w:right w:val="single" w:sz="4" w:space="0" w:color="2C4D7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Shifted-Window Loss</w:t>
            </w:r>
          </w:p>
        </w:tc>
        <w:tc>
          <w:tcPr>
            <w:tcW w:type="dxa" w:w="976"/>
            <w:vAlign w:val="center"/>
            <w:shd w:val="clear" w:color="auto" w:fill="1B365D"/>
            <w:tcBorders>
              <w:top w:val="single" w:sz="4" w:space="0" w:color="2C4D75"/>
              <w:left w:val="single" w:sz="4" w:space="0" w:color="2C4D75"/>
              <w:bottom w:val="single" w:sz="4" w:space="0" w:color="2C4D75"/>
              <w:right w:val="single" w:sz="4" w:space="0" w:color="2C4D7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Uncertainty Head</w:t>
            </w:r>
          </w:p>
        </w:tc>
        <w:tc>
          <w:tcPr>
            <w:tcW w:type="dxa" w:w="976"/>
            <w:vAlign w:val="center"/>
            <w:shd w:val="clear" w:color="auto" w:fill="1B365D"/>
            <w:tcBorders>
              <w:top w:val="single" w:sz="4" w:space="0" w:color="2C4D75"/>
              <w:left w:val="single" w:sz="4" w:space="0" w:color="2C4D75"/>
              <w:bottom w:val="single" w:sz="4" w:space="0" w:color="2C4D75"/>
              <w:right w:val="single" w:sz="4" w:space="0" w:color="2C4D7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PSNR (dB) ↑</w:t>
            </w:r>
          </w:p>
        </w:tc>
        <w:tc>
          <w:tcPr>
            <w:tcW w:type="dxa" w:w="976"/>
            <w:vAlign w:val="center"/>
            <w:shd w:val="clear" w:color="auto" w:fill="1B365D"/>
            <w:tcBorders>
              <w:top w:val="single" w:sz="4" w:space="0" w:color="2C4D75"/>
              <w:left w:val="single" w:sz="4" w:space="0" w:color="2C4D75"/>
              <w:bottom w:val="single" w:sz="4" w:space="0" w:color="2C4D75"/>
              <w:right w:val="single" w:sz="4" w:space="0" w:color="2C4D7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SSIM ↑</w:t>
            </w:r>
          </w:p>
        </w:tc>
        <w:tc>
          <w:tcPr>
            <w:tcW w:type="dxa" w:w="976"/>
            <w:vAlign w:val="center"/>
            <w:shd w:val="clear" w:color="auto" w:fill="1B365D"/>
            <w:tcBorders>
              <w:top w:val="single" w:sz="4" w:space="0" w:color="2C4D75"/>
              <w:left w:val="single" w:sz="4" w:space="0" w:color="2C4D75"/>
              <w:bottom w:val="single" w:sz="4" w:space="0" w:color="2C4D75"/>
              <w:right w:val="single" w:sz="4" w:space="0" w:color="2C4D7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SAM (rad) ↓</w:t>
            </w:r>
          </w:p>
        </w:tc>
        <w:tc>
          <w:tcPr>
            <w:tcW w:type="dxa" w:w="976"/>
            <w:vAlign w:val="center"/>
            <w:shd w:val="clear" w:color="auto" w:fill="1B365D"/>
            <w:tcBorders>
              <w:top w:val="single" w:sz="4" w:space="0" w:color="2C4D75"/>
              <w:left w:val="single" w:sz="4" w:space="0" w:color="2C4D75"/>
              <w:bottom w:val="single" w:sz="4" w:space="0" w:color="2C4D75"/>
              <w:right w:val="single" w:sz="4" w:space="0" w:color="2C4D75"/>
            </w:tcBorders>
          </w:tcPr>
          <w:p>
            <w:pPr>
              <w:spacing w:before="40" w:after="40" w:line="264" w:lineRule="auto"/>
            </w:pPr>
            <w:r>
              <w:rPr>
                <w:rFonts w:ascii="Cambria Math" w:hAnsi="Cambria Math"/>
                <w:b w:val="0"/>
                <w:i/>
                <w:color w:val="0F2864"/>
                <w:sz w:val="18"/>
              </w:rPr>
              <w:t>MAE_NDVI</w:t>
            </w: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↓</w:t>
            </w:r>
          </w:p>
        </w:tc>
      </w:tr>
      <w:tr>
        <w:trPr>
          <w:trHeight w:val="300"/>
        </w:trPr>
        <w:tc>
          <w:tcPr>
            <w:tcW w:type="dxa" w:w="976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(A) Baseline CNN</w:t>
            </w:r>
          </w:p>
        </w:tc>
        <w:tc>
          <w:tcPr>
            <w:tcW w:type="dxa" w:w="976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✗</w:t>
            </w:r>
          </w:p>
        </w:tc>
        <w:tc>
          <w:tcPr>
            <w:tcW w:type="dxa" w:w="976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✗</w:t>
            </w:r>
          </w:p>
        </w:tc>
        <w:tc>
          <w:tcPr>
            <w:tcW w:type="dxa" w:w="976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✗</w:t>
            </w:r>
          </w:p>
        </w:tc>
        <w:tc>
          <w:tcPr>
            <w:tcW w:type="dxa" w:w="976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✗</w:t>
            </w:r>
          </w:p>
        </w:tc>
        <w:tc>
          <w:tcPr>
            <w:tcW w:type="dxa" w:w="976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30.62</w:t>
            </w:r>
          </w:p>
        </w:tc>
        <w:tc>
          <w:tcPr>
            <w:tcW w:type="dxa" w:w="976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0.8241</w:t>
            </w:r>
          </w:p>
        </w:tc>
        <w:tc>
          <w:tcPr>
            <w:tcW w:type="dxa" w:w="976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0.0235</w:t>
            </w:r>
          </w:p>
        </w:tc>
        <w:tc>
          <w:tcPr>
            <w:tcW w:type="dxa" w:w="976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0.0205</w:t>
            </w:r>
          </w:p>
        </w:tc>
      </w:tr>
      <w:tr>
        <w:trPr>
          <w:trHeight w:val="300"/>
        </w:trPr>
        <w:tc>
          <w:tcPr>
            <w:tcW w:type="dxa" w:w="976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(B) + Wavelet + Mamba</w:t>
            </w:r>
          </w:p>
        </w:tc>
        <w:tc>
          <w:tcPr>
            <w:tcW w:type="dxa" w:w="976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✓</w:t>
            </w:r>
          </w:p>
        </w:tc>
        <w:tc>
          <w:tcPr>
            <w:tcW w:type="dxa" w:w="976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✗</w:t>
            </w:r>
          </w:p>
        </w:tc>
        <w:tc>
          <w:tcPr>
            <w:tcW w:type="dxa" w:w="976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✗</w:t>
            </w:r>
          </w:p>
        </w:tc>
        <w:tc>
          <w:tcPr>
            <w:tcW w:type="dxa" w:w="976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✗</w:t>
            </w:r>
          </w:p>
        </w:tc>
        <w:tc>
          <w:tcPr>
            <w:tcW w:type="dxa" w:w="976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31.45</w:t>
            </w:r>
          </w:p>
        </w:tc>
        <w:tc>
          <w:tcPr>
            <w:tcW w:type="dxa" w:w="976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0.8520</w:t>
            </w:r>
          </w:p>
        </w:tc>
        <w:tc>
          <w:tcPr>
            <w:tcW w:type="dxa" w:w="976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0.0218</w:t>
            </w:r>
          </w:p>
        </w:tc>
        <w:tc>
          <w:tcPr>
            <w:tcW w:type="dxa" w:w="976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0.0182</w:t>
            </w:r>
          </w:p>
        </w:tc>
      </w:tr>
      <w:tr>
        <w:trPr>
          <w:trHeight w:val="300"/>
        </w:trPr>
        <w:tc>
          <w:tcPr>
            <w:tcW w:type="dxa" w:w="976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(C) + Shifted-Window Loss</w:t>
            </w:r>
          </w:p>
        </w:tc>
        <w:tc>
          <w:tcPr>
            <w:tcW w:type="dxa" w:w="976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✓</w:t>
            </w:r>
          </w:p>
        </w:tc>
        <w:tc>
          <w:tcPr>
            <w:tcW w:type="dxa" w:w="976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✗</w:t>
            </w:r>
          </w:p>
        </w:tc>
        <w:tc>
          <w:tcPr>
            <w:tcW w:type="dxa" w:w="976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✓</w:t>
            </w:r>
          </w:p>
        </w:tc>
        <w:tc>
          <w:tcPr>
            <w:tcW w:type="dxa" w:w="976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✗</w:t>
            </w:r>
          </w:p>
        </w:tc>
        <w:tc>
          <w:tcPr>
            <w:tcW w:type="dxa" w:w="976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31.78</w:t>
            </w:r>
          </w:p>
        </w:tc>
        <w:tc>
          <w:tcPr>
            <w:tcW w:type="dxa" w:w="976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0.8634</w:t>
            </w:r>
          </w:p>
        </w:tc>
        <w:tc>
          <w:tcPr>
            <w:tcW w:type="dxa" w:w="976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0.0210</w:t>
            </w:r>
          </w:p>
        </w:tc>
        <w:tc>
          <w:tcPr>
            <w:tcW w:type="dxa" w:w="976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0.0174</w:t>
            </w:r>
          </w:p>
        </w:tc>
      </w:tr>
      <w:tr>
        <w:trPr>
          <w:trHeight w:val="300"/>
        </w:trPr>
        <w:tc>
          <w:tcPr>
            <w:tcW w:type="dxa" w:w="976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(D) + MTF Sensor Loss</w:t>
            </w:r>
          </w:p>
        </w:tc>
        <w:tc>
          <w:tcPr>
            <w:tcW w:type="dxa" w:w="976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✓</w:t>
            </w:r>
          </w:p>
        </w:tc>
        <w:tc>
          <w:tcPr>
            <w:tcW w:type="dxa" w:w="976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✓</w:t>
            </w:r>
          </w:p>
        </w:tc>
        <w:tc>
          <w:tcPr>
            <w:tcW w:type="dxa" w:w="976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✓</w:t>
            </w:r>
          </w:p>
        </w:tc>
        <w:tc>
          <w:tcPr>
            <w:tcW w:type="dxa" w:w="976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✗</w:t>
            </w:r>
          </w:p>
        </w:tc>
        <w:tc>
          <w:tcPr>
            <w:tcW w:type="dxa" w:w="976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32.04</w:t>
            </w:r>
          </w:p>
        </w:tc>
        <w:tc>
          <w:tcPr>
            <w:tcW w:type="dxa" w:w="976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0.8712</w:t>
            </w:r>
          </w:p>
        </w:tc>
        <w:tc>
          <w:tcPr>
            <w:tcW w:type="dxa" w:w="976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0.0201</w:t>
            </w:r>
          </w:p>
        </w:tc>
        <w:tc>
          <w:tcPr>
            <w:tcW w:type="dxa" w:w="976"/>
            <w:vAlign w:val="center"/>
            <w:shd w:val="clear" w:color="auto" w:fill="EEF2F8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 w:val="0"/>
                <w:i w:val="0"/>
                <w:color w:val="14141E"/>
                <w:sz w:val="18"/>
              </w:rPr>
              <w:t>0.0165</w:t>
            </w:r>
          </w:p>
        </w:tc>
      </w:tr>
      <w:tr>
        <w:trPr>
          <w:trHeight w:val="300"/>
        </w:trPr>
        <w:tc>
          <w:tcPr>
            <w:tcW w:type="dxa" w:w="976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(E) Full Model (Ours)</w:t>
            </w:r>
          </w:p>
        </w:tc>
        <w:tc>
          <w:tcPr>
            <w:tcW w:type="dxa" w:w="976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✓</w:t>
            </w:r>
          </w:p>
        </w:tc>
        <w:tc>
          <w:tcPr>
            <w:tcW w:type="dxa" w:w="976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✓</w:t>
            </w:r>
          </w:p>
        </w:tc>
        <w:tc>
          <w:tcPr>
            <w:tcW w:type="dxa" w:w="976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✓</w:t>
            </w:r>
          </w:p>
        </w:tc>
        <w:tc>
          <w:tcPr>
            <w:tcW w:type="dxa" w:w="976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✓</w:t>
            </w:r>
          </w:p>
        </w:tc>
        <w:tc>
          <w:tcPr>
            <w:tcW w:type="dxa" w:w="976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32.17</w:t>
            </w:r>
          </w:p>
        </w:tc>
        <w:tc>
          <w:tcPr>
            <w:tcW w:type="dxa" w:w="976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0.8754</w:t>
            </w:r>
          </w:p>
        </w:tc>
        <w:tc>
          <w:tcPr>
            <w:tcW w:type="dxa" w:w="976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0.0198</w:t>
            </w:r>
          </w:p>
        </w:tc>
        <w:tc>
          <w:tcPr>
            <w:tcW w:type="dxa" w:w="976"/>
            <w:vAlign w:val="center"/>
            <w:shd w:val="clear" w:color="auto" w:fill="FFFFFF"/>
            <w:tcBorders>
              <w:top w:val="single" w:sz="4" w:space="0" w:color="C8D5E5"/>
              <w:left w:val="single" w:sz="4" w:space="0" w:color="C8D5E5"/>
              <w:bottom w:val="single" w:sz="4" w:space="0" w:color="C8D5E5"/>
              <w:right w:val="single" w:sz="4" w:space="0" w:color="C8D5E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i w:val="0"/>
                <w:color w:val="14141E"/>
                <w:sz w:val="18"/>
              </w:rPr>
              <w:t>0.0161</w:t>
            </w:r>
          </w:p>
        </w:tc>
      </w:tr>
    </w:tbl>
    <w:p>
      <w:pPr>
        <w:spacing w:before="0" w:after="160"/>
      </w:pPr>
    </w:p>
    <w:p>
      <w:pPr>
        <w:spacing w:before="160" w:after="160"/>
        <w:pBdr>
          <w:bottom w:val="single" w:sz="6" w:space="1" w:color="AAAAAA"/>
        </w:pBdr>
      </w:pPr>
    </w:p>
    <w:p>
      <w:pPr>
        <w:spacing w:before="280" w:after="80"/>
        <w:pBdr>
          <w:bottom w:val="single" w:sz="6" w:space="1" w:color="1B365D"/>
        </w:pBdr>
      </w:pPr>
      <w:r>
        <w:rPr>
          <w:rFonts w:ascii="Times New Roman" w:hAnsi="Times New Roman"/>
          <w:b/>
          <w:i w:val="0"/>
          <w:color w:val="0F2C5F"/>
          <w:sz w:val="23"/>
        </w:rPr>
        <w:t>V. LIMITATIONS &amp; FUTURE WORK</w:t>
      </w:r>
    </w:p>
    <w:p>
      <w:pPr>
        <w:spacing w:before="200" w:after="60"/>
      </w:pPr>
      <w:r>
        <w:rPr>
          <w:rFonts w:ascii="Times New Roman" w:hAnsi="Times New Roman"/>
          <w:b/>
          <w:i/>
          <w:color w:val="19529C"/>
          <w:sz w:val="22"/>
        </w:rPr>
        <w:t>A. Architectural Limitations</w:t>
      </w:r>
    </w:p>
    <w:p>
      <w:pPr>
        <w:spacing w:before="40" w:after="60" w:line="288" w:lineRule="auto"/>
        <w:ind w:left="504" w:hanging="360"/>
      </w:pPr>
      <w:r>
        <w:rPr>
          <w:rFonts w:ascii="Times New Roman" w:hAnsi="Times New Roman"/>
          <w:b/>
          <w:i w:val="0"/>
          <w:color w:val="0F2C5F"/>
          <w:sz w:val="21"/>
        </w:rPr>
        <w:t xml:space="preserve">1. </w:t>
      </w:r>
      <w:r>
        <w:rPr>
          <w:rFonts w:ascii="Times New Roman" w:hAnsi="Times New Roman"/>
          <w:b/>
          <w:i w:val="0"/>
          <w:color w:val="14141E"/>
          <w:sz w:val="21"/>
        </w:rPr>
        <w:t>Stochastic Micro-Texture Smoothing:</w:t>
      </w:r>
      <w:r>
        <w:rPr>
          <w:rFonts w:ascii="Times New Roman" w:hAnsi="Times New Roman"/>
          <w:b w:val="0"/>
          <w:i w:val="0"/>
          <w:color w:val="14141E"/>
          <w:sz w:val="21"/>
        </w:rPr>
        <w:t>Ultra-dense stochastic foliage (e.g., dense forest canopies) exhibits minor smoothing relative to unconstrained GAN outputs. However, this trade-off preserves radiometric integrity and is transparently flagged by the uncertainty head.</w:t>
      </w:r>
    </w:p>
    <w:p>
      <w:pPr>
        <w:spacing w:before="40" w:after="60" w:line="288" w:lineRule="auto"/>
        <w:ind w:left="504" w:hanging="360"/>
      </w:pPr>
      <w:r>
        <w:rPr>
          <w:rFonts w:ascii="Times New Roman" w:hAnsi="Times New Roman"/>
          <w:b/>
          <w:i w:val="0"/>
          <w:color w:val="0F2C5F"/>
          <w:sz w:val="21"/>
        </w:rPr>
        <w:t xml:space="preserve">2. </w:t>
      </w:r>
      <w:r>
        <w:rPr>
          <w:rFonts w:ascii="Times New Roman" w:hAnsi="Times New Roman"/>
          <w:b/>
          <w:i w:val="0"/>
          <w:color w:val="14141E"/>
          <w:sz w:val="21"/>
        </w:rPr>
        <w:t>Atmospheric Penetration:</w:t>
      </w:r>
      <w:r>
        <w:rPr>
          <w:rFonts w:ascii="Times New Roman" w:hAnsi="Times New Roman"/>
          <w:b w:val="0"/>
          <w:i w:val="0"/>
          <w:color w:val="14141E"/>
          <w:sz w:val="21"/>
        </w:rPr>
        <w:t>As an optical method, dense opaque cloud cover attenuates surface radiance completely; the model accurately assigns maximum uncertainty to cloud plumes rather than synthesizing ungrounded terrain.</w:t>
      </w:r>
    </w:p>
    <w:p>
      <w:pPr>
        <w:spacing w:before="200" w:after="60"/>
      </w:pPr>
      <w:r>
        <w:rPr>
          <w:rFonts w:ascii="Times New Roman" w:hAnsi="Times New Roman"/>
          <w:b/>
          <w:i/>
          <w:color w:val="19529C"/>
          <w:sz w:val="22"/>
        </w:rPr>
        <w:t>B. Future Horizons</w:t>
      </w:r>
    </w:p>
    <w:p>
      <w:pPr>
        <w:spacing w:before="40" w:after="60" w:line="288" w:lineRule="auto"/>
        <w:ind w:left="504" w:hanging="360"/>
      </w:pPr>
      <w:r>
        <w:rPr>
          <w:rFonts w:ascii="Times New Roman" w:hAnsi="Times New Roman"/>
          <w:b/>
          <w:i w:val="0"/>
          <w:color w:val="0F2C5F"/>
          <w:sz w:val="21"/>
        </w:rPr>
        <w:t xml:space="preserve">1. </w:t>
      </w:r>
      <w:r>
        <w:rPr>
          <w:rFonts w:ascii="Times New Roman" w:hAnsi="Times New Roman"/>
          <w:b/>
          <w:i w:val="0"/>
          <w:color w:val="14141E"/>
          <w:sz w:val="21"/>
        </w:rPr>
        <w:t>Multimodal SAR-Optical Fusion:</w:t>
      </w:r>
      <w:r>
        <w:rPr>
          <w:rFonts w:ascii="Times New Roman" w:hAnsi="Times New Roman"/>
          <w:b w:val="0"/>
          <w:i w:val="0"/>
          <w:color w:val="14141E"/>
          <w:sz w:val="21"/>
        </w:rPr>
        <w:t>Coupling Sentinel-1 C-band Synthetic Aperture Radar with Sentinel-2 MSI via cross-modal state-space attention to provide all-weather penetrating super-resolution.</w:t>
      </w:r>
    </w:p>
    <w:p>
      <w:pPr>
        <w:spacing w:before="40" w:after="60" w:line="288" w:lineRule="auto"/>
        <w:ind w:left="504" w:hanging="360"/>
      </w:pPr>
      <w:r>
        <w:rPr>
          <w:rFonts w:ascii="Times New Roman" w:hAnsi="Times New Roman"/>
          <w:b/>
          <w:i w:val="0"/>
          <w:color w:val="0F2C5F"/>
          <w:sz w:val="21"/>
        </w:rPr>
        <w:t xml:space="preserve">2. </w:t>
      </w:r>
      <w:r>
        <w:rPr>
          <w:rFonts w:ascii="Times New Roman" w:hAnsi="Times New Roman"/>
          <w:b/>
          <w:i w:val="0"/>
          <w:color w:val="14141E"/>
          <w:sz w:val="21"/>
        </w:rPr>
        <w:t>On-Orbit Space-Grade FPGA Deployment:</w:t>
      </w:r>
      <w:r>
        <w:rPr>
          <w:rFonts w:ascii="Times New Roman" w:hAnsi="Times New Roman"/>
          <w:b w:val="0"/>
          <w:i w:val="0"/>
          <w:color w:val="14141E"/>
          <w:sz w:val="21"/>
        </w:rPr>
        <w:t>With a lightweight</w:t>
      </w:r>
      <w:r>
        <w:rPr>
          <w:rFonts w:ascii="Cambria Math" w:hAnsi="Cambria Math"/>
          <w:b w:val="0"/>
          <w:i/>
          <w:color w:val="0F2864"/>
          <w:sz w:val="21"/>
        </w:rPr>
        <w:t>1.12 M</w:t>
      </w:r>
      <w:r>
        <w:rPr>
          <w:rFonts w:ascii="Times New Roman" w:hAnsi="Times New Roman"/>
          <w:b w:val="0"/>
          <w:i w:val="0"/>
          <w:color w:val="14141E"/>
          <w:sz w:val="21"/>
        </w:rPr>
        <w:t>base backbone and integer-friendly state space scans, the model is directly suited for on-satellite edge deployment (e.g., AMD-Xilinx Versal) prior to ground transmission.</w:t>
      </w:r>
    </w:p>
    <w:p>
      <w:pPr>
        <w:spacing w:before="40" w:after="60" w:line="288" w:lineRule="auto"/>
        <w:ind w:left="504" w:hanging="360"/>
      </w:pPr>
      <w:r>
        <w:rPr>
          <w:rFonts w:ascii="Times New Roman" w:hAnsi="Times New Roman"/>
          <w:b/>
          <w:i w:val="0"/>
          <w:color w:val="0F2C5F"/>
          <w:sz w:val="21"/>
        </w:rPr>
        <w:t xml:space="preserve">3. </w:t>
      </w:r>
      <w:r>
        <w:rPr>
          <w:rFonts w:ascii="Times New Roman" w:hAnsi="Times New Roman"/>
          <w:b/>
          <w:i w:val="0"/>
          <w:color w:val="14141E"/>
          <w:sz w:val="21"/>
        </w:rPr>
        <w:t>Diffusion-Mamba Hybridization:</w:t>
      </w:r>
      <w:r>
        <w:rPr>
          <w:rFonts w:ascii="Times New Roman" w:hAnsi="Times New Roman"/>
          <w:b w:val="0"/>
          <w:i w:val="0"/>
          <w:color w:val="14141E"/>
          <w:sz w:val="21"/>
        </w:rPr>
        <w:t>Investigating Mamba-guided diffusion models to synthesize photo-realistic micro-textures while strictly adhering to sensor MTF bounds.</w:t>
      </w:r>
    </w:p>
    <w:p>
      <w:pPr>
        <w:spacing w:before="160" w:after="160"/>
        <w:pBdr>
          <w:bottom w:val="single" w:sz="6" w:space="1" w:color="AAAAAA"/>
        </w:pBdr>
      </w:pPr>
    </w:p>
    <w:p>
      <w:pPr>
        <w:spacing w:before="280" w:after="80"/>
        <w:pBdr>
          <w:bottom w:val="single" w:sz="6" w:space="1" w:color="1B365D"/>
        </w:pBdr>
      </w:pPr>
      <w:r>
        <w:rPr>
          <w:rFonts w:ascii="Times New Roman" w:hAnsi="Times New Roman"/>
          <w:b/>
          <w:i w:val="0"/>
          <w:color w:val="0F2C5F"/>
          <w:sz w:val="23"/>
        </w:rPr>
        <w:t>VI. REFERENCES</w:t>
      </w:r>
    </w:p>
    <w:p>
      <w:pPr>
        <w:spacing w:before="40" w:after="60" w:line="288" w:lineRule="auto"/>
        <w:ind w:left="504" w:hanging="360"/>
      </w:pPr>
      <w:r>
        <w:rPr>
          <w:rFonts w:ascii="Times New Roman" w:hAnsi="Times New Roman"/>
          <w:b/>
          <w:i w:val="0"/>
          <w:color w:val="0F2C5F"/>
          <w:sz w:val="21"/>
        </w:rPr>
        <w:t xml:space="preserve">1. </w:t>
      </w:r>
      <w:r>
        <w:rPr>
          <w:rFonts w:ascii="Times New Roman" w:hAnsi="Times New Roman"/>
          <w:b w:val="0"/>
          <w:i w:val="0"/>
          <w:color w:val="14141E"/>
          <w:sz w:val="21"/>
        </w:rPr>
        <w:t>C. Dong, C. C. Loy, K. He, and X. Tang, "Image super-resolution using deep convolutional networks,"</w:t>
      </w:r>
      <w:r>
        <w:rPr>
          <w:rFonts w:ascii="Times New Roman" w:hAnsi="Times New Roman"/>
          <w:b w:val="0"/>
          <w:i/>
          <w:color w:val="14141E"/>
          <w:sz w:val="21"/>
        </w:rPr>
        <w:t>IEEE Trans. Pattern Anal. Mach. Intell.</w:t>
      </w:r>
      <w:r>
        <w:rPr>
          <w:rFonts w:ascii="Times New Roman" w:hAnsi="Times New Roman"/>
          <w:b w:val="0"/>
          <w:i w:val="0"/>
          <w:color w:val="14141E"/>
          <w:sz w:val="21"/>
        </w:rPr>
        <w:t>, vol. 38, no. 2, pp. 295–307, 2015.</w:t>
      </w:r>
    </w:p>
    <w:p>
      <w:pPr>
        <w:spacing w:before="40" w:after="60" w:line="288" w:lineRule="auto"/>
        <w:ind w:left="504" w:hanging="360"/>
      </w:pPr>
      <w:r>
        <w:rPr>
          <w:rFonts w:ascii="Times New Roman" w:hAnsi="Times New Roman"/>
          <w:b/>
          <w:i w:val="0"/>
          <w:color w:val="0F2C5F"/>
          <w:sz w:val="21"/>
        </w:rPr>
        <w:t xml:space="preserve">2. </w:t>
      </w:r>
      <w:r>
        <w:rPr>
          <w:rFonts w:ascii="Times New Roman" w:hAnsi="Times New Roman"/>
          <w:b w:val="0"/>
          <w:i w:val="0"/>
          <w:color w:val="14141E"/>
          <w:sz w:val="21"/>
        </w:rPr>
        <w:t>J. Kim, J. K. Lee, and K. M. Lee, "Accurate image super-resolution using very deep convolutional networks," in</w:t>
      </w:r>
      <w:r>
        <w:rPr>
          <w:rFonts w:ascii="Times New Roman" w:hAnsi="Times New Roman"/>
          <w:b w:val="0"/>
          <w:i/>
          <w:color w:val="14141E"/>
          <w:sz w:val="21"/>
        </w:rPr>
        <w:t>Proc. IEEE Conf. Comput. Vis. Pattern Recognit. (CVPR)</w:t>
      </w:r>
      <w:r>
        <w:rPr>
          <w:rFonts w:ascii="Times New Roman" w:hAnsi="Times New Roman"/>
          <w:b w:val="0"/>
          <w:i w:val="0"/>
          <w:color w:val="14141E"/>
          <w:sz w:val="21"/>
        </w:rPr>
        <w:t>, 2016, pp. 1646–1654.</w:t>
      </w:r>
    </w:p>
    <w:p>
      <w:pPr>
        <w:spacing w:before="40" w:after="60" w:line="288" w:lineRule="auto"/>
        <w:ind w:left="504" w:hanging="360"/>
      </w:pPr>
      <w:r>
        <w:rPr>
          <w:rFonts w:ascii="Times New Roman" w:hAnsi="Times New Roman"/>
          <w:b/>
          <w:i w:val="0"/>
          <w:color w:val="0F2C5F"/>
          <w:sz w:val="21"/>
        </w:rPr>
        <w:t xml:space="preserve">3. </w:t>
      </w:r>
      <w:r>
        <w:rPr>
          <w:rFonts w:ascii="Times New Roman" w:hAnsi="Times New Roman"/>
          <w:b w:val="0"/>
          <w:i w:val="0"/>
          <w:color w:val="14141E"/>
          <w:sz w:val="21"/>
        </w:rPr>
        <w:t>B. Lim, S. Son, H. Kim, S. Nah, and K. M. Lee, "Enhanced deep residual networks for single image super-resolution," in</w:t>
      </w:r>
      <w:r>
        <w:rPr>
          <w:rFonts w:ascii="Times New Roman" w:hAnsi="Times New Roman"/>
          <w:b w:val="0"/>
          <w:i/>
          <w:color w:val="14141E"/>
          <w:sz w:val="21"/>
        </w:rPr>
        <w:t>Proc. IEEE Conf. Comput. Vis. Pattern Recognit. Workshops (CVPRW)</w:t>
      </w:r>
      <w:r>
        <w:rPr>
          <w:rFonts w:ascii="Times New Roman" w:hAnsi="Times New Roman"/>
          <w:b w:val="0"/>
          <w:i w:val="0"/>
          <w:color w:val="14141E"/>
          <w:sz w:val="21"/>
        </w:rPr>
        <w:t>, 2017, pp. 136–144.</w:t>
      </w:r>
    </w:p>
    <w:p>
      <w:pPr>
        <w:spacing w:before="40" w:after="60" w:line="288" w:lineRule="auto"/>
        <w:ind w:left="504" w:hanging="360"/>
      </w:pPr>
      <w:r>
        <w:rPr>
          <w:rFonts w:ascii="Times New Roman" w:hAnsi="Times New Roman"/>
          <w:b/>
          <w:i w:val="0"/>
          <w:color w:val="0F2C5F"/>
          <w:sz w:val="21"/>
        </w:rPr>
        <w:t xml:space="preserve">4. </w:t>
      </w:r>
      <w:r>
        <w:rPr>
          <w:rFonts w:ascii="Times New Roman" w:hAnsi="Times New Roman"/>
          <w:b w:val="0"/>
          <w:i w:val="0"/>
          <w:color w:val="14141E"/>
          <w:sz w:val="21"/>
        </w:rPr>
        <w:t>C. Ledig et al., "Photo-realistic single image super-resolution using a generative adversarial network," in</w:t>
      </w:r>
      <w:r>
        <w:rPr>
          <w:rFonts w:ascii="Times New Roman" w:hAnsi="Times New Roman"/>
          <w:b w:val="0"/>
          <w:i/>
          <w:color w:val="14141E"/>
          <w:sz w:val="21"/>
        </w:rPr>
        <w:t>Proc. IEEE Conf. Comput. Vis. Pattern Recognit. (CVPR)</w:t>
      </w:r>
      <w:r>
        <w:rPr>
          <w:rFonts w:ascii="Times New Roman" w:hAnsi="Times New Roman"/>
          <w:b w:val="0"/>
          <w:i w:val="0"/>
          <w:color w:val="14141E"/>
          <w:sz w:val="21"/>
        </w:rPr>
        <w:t>, 2017, pp. 4681–4690.</w:t>
      </w:r>
    </w:p>
    <w:p>
      <w:pPr>
        <w:spacing w:before="40" w:after="60" w:line="288" w:lineRule="auto"/>
        <w:ind w:left="504" w:hanging="360"/>
      </w:pPr>
      <w:r>
        <w:rPr>
          <w:rFonts w:ascii="Times New Roman" w:hAnsi="Times New Roman"/>
          <w:b/>
          <w:i w:val="0"/>
          <w:color w:val="0F2C5F"/>
          <w:sz w:val="21"/>
        </w:rPr>
        <w:t xml:space="preserve">5. </w:t>
      </w:r>
      <w:r>
        <w:rPr>
          <w:rFonts w:ascii="Times New Roman" w:hAnsi="Times New Roman"/>
          <w:b w:val="0"/>
          <w:i w:val="0"/>
          <w:color w:val="14141E"/>
          <w:sz w:val="21"/>
        </w:rPr>
        <w:t>C. Lanaras, J. Bioucas-Dias, S. Galliani, E. Baltsavias, and K. Schindler, "Super-resolution of Sentinel-2 images with deep residual networks,"</w:t>
      </w:r>
      <w:r>
        <w:rPr>
          <w:rFonts w:ascii="Times New Roman" w:hAnsi="Times New Roman"/>
          <w:b w:val="0"/>
          <w:i/>
          <w:color w:val="14141E"/>
          <w:sz w:val="21"/>
        </w:rPr>
        <w:t>ISPRS J. Photogramm. Remote Sens.</w:t>
      </w:r>
      <w:r>
        <w:rPr>
          <w:rFonts w:ascii="Times New Roman" w:hAnsi="Times New Roman"/>
          <w:b w:val="0"/>
          <w:i w:val="0"/>
          <w:color w:val="14141E"/>
          <w:sz w:val="21"/>
        </w:rPr>
        <w:t>, vol. 146, pp. 305–316, 2018.</w:t>
      </w:r>
    </w:p>
    <w:p>
      <w:pPr>
        <w:spacing w:before="40" w:after="60" w:line="288" w:lineRule="auto"/>
        <w:ind w:left="504" w:hanging="360"/>
      </w:pPr>
      <w:r>
        <w:rPr>
          <w:rFonts w:ascii="Times New Roman" w:hAnsi="Times New Roman"/>
          <w:b/>
          <w:i w:val="0"/>
          <w:color w:val="0F2C5F"/>
          <w:sz w:val="21"/>
        </w:rPr>
        <w:t xml:space="preserve">6. </w:t>
      </w:r>
      <w:r>
        <w:rPr>
          <w:rFonts w:ascii="Times New Roman" w:hAnsi="Times New Roman"/>
          <w:b w:val="0"/>
          <w:i w:val="0"/>
          <w:color w:val="14141E"/>
          <w:sz w:val="21"/>
        </w:rPr>
        <w:t>Y. Zhang, K. Li, K. Li, L. Wang, B. Zhong, and Y. Fu, "Image super-resolution using very deep residual channel attention networks," in</w:t>
      </w:r>
      <w:r>
        <w:rPr>
          <w:rFonts w:ascii="Times New Roman" w:hAnsi="Times New Roman"/>
          <w:b w:val="0"/>
          <w:i/>
          <w:color w:val="14141E"/>
          <w:sz w:val="21"/>
        </w:rPr>
        <w:t>Proc. Eur. Conf. Comput. Vis. (ECCV)</w:t>
      </w:r>
      <w:r>
        <w:rPr>
          <w:rFonts w:ascii="Times New Roman" w:hAnsi="Times New Roman"/>
          <w:b w:val="0"/>
          <w:i w:val="0"/>
          <w:color w:val="14141E"/>
          <w:sz w:val="21"/>
        </w:rPr>
        <w:t>, 2018, pp. 286–301.</w:t>
      </w:r>
    </w:p>
    <w:p>
      <w:pPr>
        <w:spacing w:before="40" w:after="60" w:line="288" w:lineRule="auto"/>
        <w:ind w:left="504" w:hanging="360"/>
      </w:pPr>
      <w:r>
        <w:rPr>
          <w:rFonts w:ascii="Times New Roman" w:hAnsi="Times New Roman"/>
          <w:b/>
          <w:i w:val="0"/>
          <w:color w:val="0F2C5F"/>
          <w:sz w:val="21"/>
        </w:rPr>
        <w:t xml:space="preserve">7. </w:t>
      </w:r>
      <w:r>
        <w:rPr>
          <w:rFonts w:ascii="Times New Roman" w:hAnsi="Times New Roman"/>
          <w:b w:val="0"/>
          <w:i w:val="0"/>
          <w:color w:val="14141E"/>
          <w:sz w:val="21"/>
        </w:rPr>
        <w:t>X. Wang et al., "ESRGAN: Enhanced super-resolution generative adversarial networks," in</w:t>
      </w:r>
      <w:r>
        <w:rPr>
          <w:rFonts w:ascii="Times New Roman" w:hAnsi="Times New Roman"/>
          <w:b w:val="0"/>
          <w:i/>
          <w:color w:val="14141E"/>
          <w:sz w:val="21"/>
        </w:rPr>
        <w:t>Proc. Eur. Conf. Comput. Vis. Workshops (ECCVW)</w:t>
      </w:r>
      <w:r>
        <w:rPr>
          <w:rFonts w:ascii="Times New Roman" w:hAnsi="Times New Roman"/>
          <w:b w:val="0"/>
          <w:i w:val="0"/>
          <w:color w:val="14141E"/>
          <w:sz w:val="21"/>
        </w:rPr>
        <w:t>, 2018, pp. 63–79.</w:t>
      </w:r>
    </w:p>
    <w:p>
      <w:pPr>
        <w:spacing w:before="40" w:after="60" w:line="288" w:lineRule="auto"/>
        <w:ind w:left="504" w:hanging="360"/>
      </w:pPr>
      <w:r>
        <w:rPr>
          <w:rFonts w:ascii="Times New Roman" w:hAnsi="Times New Roman"/>
          <w:b/>
          <w:i w:val="0"/>
          <w:color w:val="0F2C5F"/>
          <w:sz w:val="21"/>
        </w:rPr>
        <w:t xml:space="preserve">8. </w:t>
      </w:r>
      <w:r>
        <w:rPr>
          <w:rFonts w:ascii="Times New Roman" w:hAnsi="Times New Roman"/>
          <w:b w:val="0"/>
          <w:i w:val="0"/>
          <w:color w:val="14141E"/>
          <w:sz w:val="21"/>
        </w:rPr>
        <w:t>M. Deudon et al., "HighRes-net: Recursive fusion for multi-frame super-resolution of satellite imagery," in</w:t>
      </w:r>
      <w:r>
        <w:rPr>
          <w:rFonts w:ascii="Times New Roman" w:hAnsi="Times New Roman"/>
          <w:b w:val="0"/>
          <w:i/>
          <w:color w:val="14141E"/>
          <w:sz w:val="21"/>
        </w:rPr>
        <w:t>Proc. IEEE Conf. Comput. Vis. Pattern Recognit. Workshops (CVPRW)</w:t>
      </w:r>
      <w:r>
        <w:rPr>
          <w:rFonts w:ascii="Times New Roman" w:hAnsi="Times New Roman"/>
          <w:b w:val="0"/>
          <w:i w:val="0"/>
          <w:color w:val="14141E"/>
          <w:sz w:val="21"/>
        </w:rPr>
        <w:t>, 2020, pp. 188–189.</w:t>
      </w:r>
    </w:p>
    <w:p>
      <w:pPr>
        <w:spacing w:before="40" w:after="60" w:line="288" w:lineRule="auto"/>
        <w:ind w:left="504" w:hanging="360"/>
      </w:pPr>
      <w:r>
        <w:rPr>
          <w:rFonts w:ascii="Times New Roman" w:hAnsi="Times New Roman"/>
          <w:b/>
          <w:i w:val="0"/>
          <w:color w:val="0F2C5F"/>
          <w:sz w:val="21"/>
        </w:rPr>
        <w:t xml:space="preserve">9. </w:t>
      </w:r>
      <w:r>
        <w:rPr>
          <w:rFonts w:ascii="Times New Roman" w:hAnsi="Times New Roman"/>
          <w:b w:val="0"/>
          <w:i w:val="0"/>
          <w:color w:val="14141E"/>
          <w:sz w:val="21"/>
        </w:rPr>
        <w:t>J. Liang, J. Cao, G. Sun, K. Zhang, L. Van Gool, and R. Timofte, "SwinIR: Image restoration using swin transformer," in</w:t>
      </w:r>
      <w:r>
        <w:rPr>
          <w:rFonts w:ascii="Times New Roman" w:hAnsi="Times New Roman"/>
          <w:b w:val="0"/>
          <w:i/>
          <w:color w:val="14141E"/>
          <w:sz w:val="21"/>
        </w:rPr>
        <w:t>Proc. IEEE Int. Conf. Comput. Vis. Workshops (ICCVW)</w:t>
      </w:r>
      <w:r>
        <w:rPr>
          <w:rFonts w:ascii="Times New Roman" w:hAnsi="Times New Roman"/>
          <w:b w:val="0"/>
          <w:i w:val="0"/>
          <w:color w:val="14141E"/>
          <w:sz w:val="21"/>
        </w:rPr>
        <w:t>, 2021, pp. 1833–1844.</w:t>
      </w:r>
    </w:p>
    <w:p>
      <w:pPr>
        <w:spacing w:before="40" w:after="60" w:line="288" w:lineRule="auto"/>
        <w:ind w:left="504" w:hanging="360"/>
      </w:pPr>
      <w:r>
        <w:rPr>
          <w:rFonts w:ascii="Times New Roman" w:hAnsi="Times New Roman"/>
          <w:b/>
          <w:i w:val="0"/>
          <w:color w:val="0F2C5F"/>
          <w:sz w:val="21"/>
        </w:rPr>
        <w:t xml:space="preserve">10. </w:t>
      </w:r>
      <w:r>
        <w:rPr>
          <w:rFonts w:ascii="Times New Roman" w:hAnsi="Times New Roman"/>
          <w:b w:val="0"/>
          <w:i w:val="0"/>
          <w:color w:val="14141E"/>
          <w:sz w:val="21"/>
        </w:rPr>
        <w:t>S. W. Zamir, A. Arora, S. Khan, M. Hayat, F. S. Khan, and M.-H. Yang, "Restormer: Efficient transformer for high-resolution image restoration," in</w:t>
      </w:r>
      <w:r>
        <w:rPr>
          <w:rFonts w:ascii="Times New Roman" w:hAnsi="Times New Roman"/>
          <w:b w:val="0"/>
          <w:i/>
          <w:color w:val="14141E"/>
          <w:sz w:val="21"/>
        </w:rPr>
        <w:t>Proc. IEEE Conf. Comput. Vis. Pattern Recognit. (CVPR)</w:t>
      </w:r>
      <w:r>
        <w:rPr>
          <w:rFonts w:ascii="Times New Roman" w:hAnsi="Times New Roman"/>
          <w:b w:val="0"/>
          <w:i w:val="0"/>
          <w:color w:val="14141E"/>
          <w:sz w:val="21"/>
        </w:rPr>
        <w:t>, 2022, pp. 5728–5739.</w:t>
      </w:r>
    </w:p>
    <w:p>
      <w:pPr>
        <w:spacing w:before="40" w:after="60" w:line="288" w:lineRule="auto"/>
        <w:ind w:left="504" w:hanging="360"/>
      </w:pPr>
      <w:r>
        <w:rPr>
          <w:rFonts w:ascii="Times New Roman" w:hAnsi="Times New Roman"/>
          <w:b/>
          <w:i w:val="0"/>
          <w:color w:val="0F2C5F"/>
          <w:sz w:val="21"/>
        </w:rPr>
        <w:t xml:space="preserve">11. </w:t>
      </w:r>
      <w:r>
        <w:rPr>
          <w:rFonts w:ascii="Times New Roman" w:hAnsi="Times New Roman"/>
          <w:b w:val="0"/>
          <w:i w:val="0"/>
          <w:color w:val="14141E"/>
          <w:sz w:val="21"/>
        </w:rPr>
        <w:t>L. Chen, X. Chu, X. Zhang, and J. Sun, "Simple baselines for image restoration," in</w:t>
      </w:r>
      <w:r>
        <w:rPr>
          <w:rFonts w:ascii="Times New Roman" w:hAnsi="Times New Roman"/>
          <w:b w:val="0"/>
          <w:i/>
          <w:color w:val="14141E"/>
          <w:sz w:val="21"/>
        </w:rPr>
        <w:t>Proc. Eur. Conf. Comput. Vis. (ECCV)</w:t>
      </w:r>
      <w:r>
        <w:rPr>
          <w:rFonts w:ascii="Times New Roman" w:hAnsi="Times New Roman"/>
          <w:b w:val="0"/>
          <w:i w:val="0"/>
          <w:color w:val="14141E"/>
          <w:sz w:val="21"/>
        </w:rPr>
        <w:t>, 2022, pp. 17–33.</w:t>
      </w:r>
    </w:p>
    <w:p>
      <w:pPr>
        <w:spacing w:before="40" w:after="60" w:line="288" w:lineRule="auto"/>
        <w:ind w:left="504" w:hanging="360"/>
      </w:pPr>
      <w:r>
        <w:rPr>
          <w:rFonts w:ascii="Times New Roman" w:hAnsi="Times New Roman"/>
          <w:b/>
          <w:i w:val="0"/>
          <w:color w:val="0F2C5F"/>
          <w:sz w:val="21"/>
        </w:rPr>
        <w:t xml:space="preserve">12. </w:t>
      </w:r>
      <w:r>
        <w:rPr>
          <w:rFonts w:ascii="Times New Roman" w:hAnsi="Times New Roman"/>
          <w:b w:val="0"/>
          <w:i w:val="0"/>
          <w:color w:val="14141E"/>
          <w:sz w:val="21"/>
        </w:rPr>
        <w:t>S. Donike, C. Aybar, J. A. P. Gómez, D. Montero, and M. Camps-Valls, "OpenSR: A comprehensive benchmark for Sentinel-2 super-resolution,"</w:t>
      </w:r>
      <w:r>
        <w:rPr>
          <w:rFonts w:ascii="Times New Roman" w:hAnsi="Times New Roman"/>
          <w:b w:val="0"/>
          <w:i/>
          <w:color w:val="14141E"/>
          <w:sz w:val="21"/>
        </w:rPr>
        <w:t>IEEE Geosci. Remote Sens. Lett.</w:t>
      </w:r>
      <w:r>
        <w:rPr>
          <w:rFonts w:ascii="Times New Roman" w:hAnsi="Times New Roman"/>
          <w:b w:val="0"/>
          <w:i w:val="0"/>
          <w:color w:val="14141E"/>
          <w:sz w:val="21"/>
        </w:rPr>
        <w:t>, vol. 20, pp. 1–5, 2023.</w:t>
      </w:r>
    </w:p>
    <w:p>
      <w:pPr>
        <w:spacing w:before="40" w:after="60" w:line="288" w:lineRule="auto"/>
        <w:ind w:left="504" w:hanging="360"/>
      </w:pPr>
      <w:r>
        <w:rPr>
          <w:rFonts w:ascii="Times New Roman" w:hAnsi="Times New Roman"/>
          <w:b/>
          <w:i w:val="0"/>
          <w:color w:val="0F2C5F"/>
          <w:sz w:val="21"/>
        </w:rPr>
        <w:t xml:space="preserve">13. </w:t>
      </w:r>
      <w:r>
        <w:rPr>
          <w:rFonts w:ascii="Times New Roman" w:hAnsi="Times New Roman"/>
          <w:b w:val="0"/>
          <w:i w:val="0"/>
          <w:color w:val="14141E"/>
          <w:sz w:val="21"/>
        </w:rPr>
        <w:t>A. Kendall and Y. Gal, "What uncertainties do we need in Bayesian deep learning for computer vision?," in</w:t>
      </w:r>
      <w:r>
        <w:rPr>
          <w:rFonts w:ascii="Times New Roman" w:hAnsi="Times New Roman"/>
          <w:b w:val="0"/>
          <w:i/>
          <w:color w:val="14141E"/>
          <w:sz w:val="21"/>
        </w:rPr>
        <w:t>Adv. Neural Inf. Process. Syst. (NeurIPS)</w:t>
      </w:r>
      <w:r>
        <w:rPr>
          <w:rFonts w:ascii="Times New Roman" w:hAnsi="Times New Roman"/>
          <w:b w:val="0"/>
          <w:i w:val="0"/>
          <w:color w:val="14141E"/>
          <w:sz w:val="21"/>
        </w:rPr>
        <w:t>, 2017, pp. 5574–5584.</w:t>
      </w:r>
    </w:p>
    <w:p>
      <w:pPr>
        <w:spacing w:before="40" w:after="60" w:line="288" w:lineRule="auto"/>
        <w:ind w:left="504" w:hanging="360"/>
      </w:pPr>
      <w:r>
        <w:rPr>
          <w:rFonts w:ascii="Times New Roman" w:hAnsi="Times New Roman"/>
          <w:b/>
          <w:i w:val="0"/>
          <w:color w:val="0F2C5F"/>
          <w:sz w:val="21"/>
        </w:rPr>
        <w:t xml:space="preserve">14. </w:t>
      </w:r>
      <w:r>
        <w:rPr>
          <w:rFonts w:ascii="Times New Roman" w:hAnsi="Times New Roman"/>
          <w:b w:val="0"/>
          <w:i w:val="0"/>
          <w:color w:val="14141E"/>
          <w:sz w:val="21"/>
        </w:rPr>
        <w:t>A. Gu and T. Dao, "Mamba: Linear-time sequence modeling with selective state spaces,"</w:t>
      </w:r>
      <w:r>
        <w:rPr>
          <w:rFonts w:ascii="Times New Roman" w:hAnsi="Times New Roman"/>
          <w:b w:val="0"/>
          <w:i/>
          <w:color w:val="14141E"/>
          <w:sz w:val="21"/>
        </w:rPr>
        <w:t>arXiv preprint arXiv:2312.00752</w:t>
      </w:r>
      <w:r>
        <w:rPr>
          <w:rFonts w:ascii="Times New Roman" w:hAnsi="Times New Roman"/>
          <w:b w:val="0"/>
          <w:i w:val="0"/>
          <w:color w:val="14141E"/>
          <w:sz w:val="21"/>
        </w:rPr>
        <w:t>, 2023.</w:t>
      </w:r>
    </w:p>
    <w:p>
      <w:pPr>
        <w:spacing w:before="40" w:after="60" w:line="288" w:lineRule="auto"/>
        <w:ind w:left="504" w:hanging="360"/>
      </w:pPr>
      <w:r>
        <w:rPr>
          <w:rFonts w:ascii="Times New Roman" w:hAnsi="Times New Roman"/>
          <w:b/>
          <w:i w:val="0"/>
          <w:color w:val="0F2C5F"/>
          <w:sz w:val="21"/>
        </w:rPr>
        <w:t xml:space="preserve">15. </w:t>
      </w:r>
      <w:r>
        <w:rPr>
          <w:rFonts w:ascii="Times New Roman" w:hAnsi="Times New Roman"/>
          <w:b w:val="0"/>
          <w:i w:val="0"/>
          <w:color w:val="14141E"/>
          <w:sz w:val="21"/>
        </w:rPr>
        <w:t>L. Zhu et al., "Vision Mamba: Efficient visual representation learning with bidirectional state space model," in</w:t>
      </w:r>
      <w:r>
        <w:rPr>
          <w:rFonts w:ascii="Times New Roman" w:hAnsi="Times New Roman"/>
          <w:b w:val="0"/>
          <w:i/>
          <w:color w:val="14141E"/>
          <w:sz w:val="21"/>
        </w:rPr>
        <w:t>Proc. Int. Conf. Mach. Learn. (ICML)</w:t>
      </w:r>
      <w:r>
        <w:rPr>
          <w:rFonts w:ascii="Times New Roman" w:hAnsi="Times New Roman"/>
          <w:b w:val="0"/>
          <w:i w:val="0"/>
          <w:color w:val="14141E"/>
          <w:sz w:val="21"/>
        </w:rPr>
        <w:t>, 2024.</w:t>
      </w:r>
    </w:p>
    <w:p>
      <w:pPr>
        <w:spacing w:before="40" w:after="60" w:line="288" w:lineRule="auto"/>
        <w:ind w:left="504" w:hanging="360"/>
      </w:pPr>
      <w:r>
        <w:rPr>
          <w:rFonts w:ascii="Times New Roman" w:hAnsi="Times New Roman"/>
          <w:b/>
          <w:i w:val="0"/>
          <w:color w:val="0F2C5F"/>
          <w:sz w:val="21"/>
        </w:rPr>
        <w:t xml:space="preserve">16. </w:t>
      </w:r>
      <w:r>
        <w:rPr>
          <w:rFonts w:ascii="Times New Roman" w:hAnsi="Times New Roman"/>
          <w:b w:val="0"/>
          <w:i w:val="0"/>
          <w:color w:val="14141E"/>
          <w:sz w:val="21"/>
        </w:rPr>
        <w:t>Y. Liu et al., "VMamba: Visual state space model," in</w:t>
      </w:r>
      <w:r>
        <w:rPr>
          <w:rFonts w:ascii="Times New Roman" w:hAnsi="Times New Roman"/>
          <w:b w:val="0"/>
          <w:i/>
          <w:color w:val="14141E"/>
          <w:sz w:val="21"/>
        </w:rPr>
        <w:t>Adv. Neural Inf. Process. Syst. (NeurIPS)</w:t>
      </w:r>
      <w:r>
        <w:rPr>
          <w:rFonts w:ascii="Times New Roman" w:hAnsi="Times New Roman"/>
          <w:b w:val="0"/>
          <w:i w:val="0"/>
          <w:color w:val="14141E"/>
          <w:sz w:val="21"/>
        </w:rPr>
        <w:t>, 2024.</w:t>
      </w:r>
    </w:p>
    <w:p>
      <w:pPr>
        <w:spacing w:before="40" w:after="60" w:line="288" w:lineRule="auto"/>
        <w:ind w:left="504" w:hanging="360"/>
      </w:pPr>
      <w:r>
        <w:rPr>
          <w:rFonts w:ascii="Times New Roman" w:hAnsi="Times New Roman"/>
          <w:b/>
          <w:i w:val="0"/>
          <w:color w:val="0F2C5F"/>
          <w:sz w:val="21"/>
        </w:rPr>
        <w:t xml:space="preserve">17. </w:t>
      </w:r>
      <w:r>
        <w:rPr>
          <w:rFonts w:ascii="Times New Roman" w:hAnsi="Times New Roman"/>
          <w:b w:val="0"/>
          <w:i w:val="0"/>
          <w:color w:val="14141E"/>
          <w:sz w:val="21"/>
        </w:rPr>
        <w:t>H. Guo et al., "MambaIR: A simple baseline for image restoration with state space model," in</w:t>
      </w:r>
      <w:r>
        <w:rPr>
          <w:rFonts w:ascii="Times New Roman" w:hAnsi="Times New Roman"/>
          <w:b w:val="0"/>
          <w:i/>
          <w:color w:val="14141E"/>
          <w:sz w:val="21"/>
        </w:rPr>
        <w:t>Proc. Eur. Conf. Comput. Vis. (ECCV)</w:t>
      </w:r>
      <w:r>
        <w:rPr>
          <w:rFonts w:ascii="Times New Roman" w:hAnsi="Times New Roman"/>
          <w:b w:val="0"/>
          <w:i w:val="0"/>
          <w:color w:val="14141E"/>
          <w:sz w:val="21"/>
        </w:rPr>
        <w:t>, 2024.</w:t>
      </w:r>
    </w:p>
    <w:p>
      <w:pPr>
        <w:spacing w:before="40" w:after="60" w:line="288" w:lineRule="auto"/>
        <w:ind w:left="504" w:hanging="360"/>
      </w:pPr>
      <w:r>
        <w:rPr>
          <w:rFonts w:ascii="Times New Roman" w:hAnsi="Times New Roman"/>
          <w:b/>
          <w:i w:val="0"/>
          <w:color w:val="0F2C5F"/>
          <w:sz w:val="21"/>
        </w:rPr>
        <w:t xml:space="preserve">18. </w:t>
      </w:r>
      <w:r>
        <w:rPr>
          <w:rFonts w:ascii="Times New Roman" w:hAnsi="Times New Roman"/>
          <w:b w:val="0"/>
          <w:i w:val="0"/>
          <w:color w:val="14141E"/>
          <w:sz w:val="21"/>
        </w:rPr>
        <w:t>J. W. Rouse, R. H. Haas, J. A. Schell, and D. W. Deering, "Monitoring vegetation systems in the Great Plains with ERTS,"</w:t>
      </w:r>
      <w:r>
        <w:rPr>
          <w:rFonts w:ascii="Times New Roman" w:hAnsi="Times New Roman"/>
          <w:b w:val="0"/>
          <w:i/>
          <w:color w:val="14141E"/>
          <w:sz w:val="21"/>
        </w:rPr>
        <w:t>NASA Spec. Publ.</w:t>
      </w:r>
      <w:r>
        <w:rPr>
          <w:rFonts w:ascii="Times New Roman" w:hAnsi="Times New Roman"/>
          <w:b w:val="0"/>
          <w:i w:val="0"/>
          <w:color w:val="14141E"/>
          <w:sz w:val="21"/>
        </w:rPr>
        <w:t>, vol. 351, p. 309, 1974.</w:t>
      </w:r>
    </w:p>
    <w:p>
      <w:pPr>
        <w:spacing w:before="40" w:after="60" w:line="288" w:lineRule="auto"/>
        <w:ind w:left="504" w:hanging="360"/>
      </w:pPr>
      <w:r>
        <w:rPr>
          <w:rFonts w:ascii="Times New Roman" w:hAnsi="Times New Roman"/>
          <w:b/>
          <w:i w:val="0"/>
          <w:color w:val="0F2C5F"/>
          <w:sz w:val="21"/>
        </w:rPr>
        <w:t xml:space="preserve">19. </w:t>
      </w:r>
      <w:r>
        <w:rPr>
          <w:rFonts w:ascii="Times New Roman" w:hAnsi="Times New Roman"/>
          <w:b w:val="0"/>
          <w:i w:val="0"/>
          <w:color w:val="14141E"/>
          <w:sz w:val="21"/>
        </w:rPr>
        <w:t>A. A. Gitelson, A. Viña, V. Ciganda, D. C. Rundquist, and T. J. Arkebauer, "Remote estimation of canopy chlorophyll content in crops,"</w:t>
      </w:r>
      <w:r>
        <w:rPr>
          <w:rFonts w:ascii="Times New Roman" w:hAnsi="Times New Roman"/>
          <w:b w:val="0"/>
          <w:i/>
          <w:color w:val="14141E"/>
          <w:sz w:val="21"/>
        </w:rPr>
        <w:t>Geophys. Res. Lett.</w:t>
      </w:r>
      <w:r>
        <w:rPr>
          <w:rFonts w:ascii="Times New Roman" w:hAnsi="Times New Roman"/>
          <w:b w:val="0"/>
          <w:i w:val="0"/>
          <w:color w:val="14141E"/>
          <w:sz w:val="21"/>
        </w:rPr>
        <w:t>, vol. 32, no. 8, 2005.</w:t>
      </w:r>
    </w:p>
    <w:p>
      <w:pPr>
        <w:spacing w:before="40" w:after="60" w:line="288" w:lineRule="auto"/>
        <w:ind w:left="504" w:hanging="360"/>
      </w:pPr>
      <w:r>
        <w:rPr>
          <w:rFonts w:ascii="Times New Roman" w:hAnsi="Times New Roman"/>
          <w:b/>
          <w:i w:val="0"/>
          <w:color w:val="0F2C5F"/>
          <w:sz w:val="21"/>
        </w:rPr>
        <w:t xml:space="preserve">20. </w:t>
      </w:r>
      <w:r>
        <w:rPr>
          <w:rFonts w:ascii="Times New Roman" w:hAnsi="Times New Roman"/>
          <w:b w:val="0"/>
          <w:i w:val="0"/>
          <w:color w:val="14141E"/>
          <w:sz w:val="21"/>
        </w:rPr>
        <w:t>B.-C. Gao, "NDWI—A normalized difference water index for remote sensing of vegetation liquid water from space,"</w:t>
      </w:r>
      <w:r>
        <w:rPr>
          <w:rFonts w:ascii="Times New Roman" w:hAnsi="Times New Roman"/>
          <w:b w:val="0"/>
          <w:i/>
          <w:color w:val="14141E"/>
          <w:sz w:val="21"/>
        </w:rPr>
        <w:t>Remote Sens. Environ.</w:t>
      </w:r>
      <w:r>
        <w:rPr>
          <w:rFonts w:ascii="Times New Roman" w:hAnsi="Times New Roman"/>
          <w:b w:val="0"/>
          <w:i w:val="0"/>
          <w:color w:val="14141E"/>
          <w:sz w:val="21"/>
        </w:rPr>
        <w:t>, vol. 58, no. 3, pp. 257–266, 1996.</w:t>
      </w:r>
    </w:p>
    <w:p>
      <w:pPr>
        <w:spacing w:before="40" w:after="60" w:line="288" w:lineRule="auto"/>
        <w:ind w:left="504" w:hanging="360"/>
      </w:pPr>
      <w:r>
        <w:rPr>
          <w:rFonts w:ascii="Times New Roman" w:hAnsi="Times New Roman"/>
          <w:b/>
          <w:i w:val="0"/>
          <w:color w:val="0F2C5F"/>
          <w:sz w:val="21"/>
        </w:rPr>
        <w:t xml:space="preserve">21. </w:t>
      </w:r>
      <w:r>
        <w:rPr>
          <w:rFonts w:ascii="Times New Roman" w:hAnsi="Times New Roman"/>
          <w:b w:val="0"/>
          <w:i w:val="0"/>
          <w:color w:val="14141E"/>
          <w:sz w:val="21"/>
        </w:rPr>
        <w:t>Z. Wang, A. C. Bovik, H. R. Sheikh, and E. P. Simoncelli, "Image quality assessment: from error visibility to structural similarity,"</w:t>
      </w:r>
      <w:r>
        <w:rPr>
          <w:rFonts w:ascii="Times New Roman" w:hAnsi="Times New Roman"/>
          <w:b w:val="0"/>
          <w:i/>
          <w:color w:val="14141E"/>
          <w:sz w:val="21"/>
        </w:rPr>
        <w:t>IEEE Trans. Image Process.</w:t>
      </w:r>
      <w:r>
        <w:rPr>
          <w:rFonts w:ascii="Times New Roman" w:hAnsi="Times New Roman"/>
          <w:b w:val="0"/>
          <w:i w:val="0"/>
          <w:color w:val="14141E"/>
          <w:sz w:val="21"/>
        </w:rPr>
        <w:t>, vol. 13, no. 4, pp. 600–612, 2004.</w:t>
      </w:r>
    </w:p>
    <w:p>
      <w:pPr>
        <w:spacing w:before="40" w:after="60" w:line="288" w:lineRule="auto"/>
        <w:ind w:left="504" w:hanging="360"/>
      </w:pPr>
      <w:r>
        <w:rPr>
          <w:rFonts w:ascii="Times New Roman" w:hAnsi="Times New Roman"/>
          <w:b/>
          <w:i w:val="0"/>
          <w:color w:val="0F2C5F"/>
          <w:sz w:val="21"/>
        </w:rPr>
        <w:t xml:space="preserve">22. </w:t>
      </w:r>
      <w:r>
        <w:rPr>
          <w:rFonts w:ascii="Times New Roman" w:hAnsi="Times New Roman"/>
          <w:b w:val="0"/>
          <w:i w:val="0"/>
          <w:color w:val="14141E"/>
          <w:sz w:val="21"/>
        </w:rPr>
        <w:t>European Space Agency (ESA), "Sentinel-2 MSI Level-2A Algorithm Theoretical Basis Document (ATBD),"</w:t>
      </w:r>
      <w:r>
        <w:rPr>
          <w:rFonts w:ascii="Times New Roman" w:hAnsi="Times New Roman"/>
          <w:b w:val="0"/>
          <w:i/>
          <w:color w:val="14141E"/>
          <w:sz w:val="21"/>
        </w:rPr>
        <w:t>ESA SP-1322/2</w:t>
      </w:r>
      <w:r>
        <w:rPr>
          <w:rFonts w:ascii="Times New Roman" w:hAnsi="Times New Roman"/>
          <w:b w:val="0"/>
          <w:i w:val="0"/>
          <w:color w:val="14141E"/>
          <w:sz w:val="21"/>
        </w:rPr>
        <w:t>, Tech. Rep., 2021.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