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imes New Roman" w:hAnsi="Times New Roman"/>
          <w:b/>
          <w:color w:val="1B365D"/>
          <w:sz w:val="40"/>
        </w:rPr>
        <w:t>TriSpecWaveMambaUQ: Physics-Informed Multi-Spectral Super-Resolution with State Space Models and Calibrated Uncertainty Quantification for Sentinel-2 MSI</w:t>
      </w:r>
    </w:p>
    <w:p>
      <w:pPr>
        <w:spacing w:before="40" w:after="80" w:line="276" w:lineRule="auto"/>
        <w:jc w:val="center"/>
      </w:pPr>
      <w:r>
        <w:rPr>
          <w:rFonts w:ascii="Times New Roman" w:hAnsi="Times New Roman"/>
          <w:b/>
          <w:color w:val="6C757D"/>
          <w:sz w:val="22"/>
        </w:rPr>
        <w:t>Khushalzz et al.</w:t>
      </w:r>
    </w:p>
    <w:p>
      <w:pPr>
        <w:spacing w:before="40" w:after="80" w:line="276" w:lineRule="auto"/>
        <w:jc w:val="center"/>
      </w:pPr>
      <w:r>
        <w:rPr>
          <w:rFonts w:ascii="Times New Roman" w:hAnsi="Times New Roman"/>
          <w:i/>
          <w:color w:val="6C757D"/>
          <w:sz w:val="22"/>
        </w:rPr>
        <w:t>Laboratory for Geospatial Intelligence and Earth Observation Machine Learning</w:t>
      </w:r>
    </w:p>
    <w:p>
      <w:pPr>
        <w:spacing w:before="40" w:after="80" w:line="276" w:lineRule="auto"/>
      </w:pPr>
      <w:r>
        <w:rPr>
          <w:rFonts w:ascii="Times New Roman" w:hAnsi="Times New Roman"/>
          <w:i/>
          <w:color w:val="212529"/>
          <w:sz w:val="21"/>
        </w:rPr>
        <w:t>Technical Report / Journal Manuscript Draft (IEEE Transactions on Geoscience and Remote Sensing)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Abstract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Multispectral satellite imagery from Sentinel-2 is constrained by physical detector geometry, distributing twelve spectral bands across three disparate spatial resolutions (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Cambria Math" w:hAnsi="Cambria Math"/>
          <w:i/>
          <w:color w:val="212529"/>
          <w:sz w:val="21"/>
        </w:rPr>
        <w:t>20 m</w:t>
      </w:r>
      <w:r>
        <w:rPr>
          <w:rFonts w:ascii="Times New Roman" w:hAnsi="Times New Roman"/>
          <w:color w:val="212529"/>
          <w:sz w:val="21"/>
        </w:rPr>
        <w:t xml:space="preserve">, and </w:t>
      </w:r>
      <w:r>
        <w:rPr>
          <w:rFonts w:ascii="Cambria Math" w:hAnsi="Cambria Math"/>
          <w:i/>
          <w:color w:val="212529"/>
          <w:sz w:val="21"/>
        </w:rPr>
        <w:t>60 m</w:t>
      </w:r>
      <w:r>
        <w:rPr>
          <w:rFonts w:ascii="Times New Roman" w:hAnsi="Times New Roman"/>
          <w:color w:val="212529"/>
          <w:sz w:val="21"/>
        </w:rPr>
        <w:t xml:space="preserve">). While deep learning methods have significantly advanced single-image super-resolution (SISR), conventional Convolutional Neural Networks (CNNs) struggle with long-range spectral dependencies, and Vision Transformers (ViTs) suffer from quadratic computational complexity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>. Furthermore, standard deterministic super-resolution models obscure hallucinated high-frequency artifacts, presenting critical reliability risks for downstream Earth observation tasks.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In this work, we propose </w:t>
      </w:r>
      <w:r>
        <w:rPr>
          <w:rFonts w:ascii="Times New Roman" w:hAnsi="Times New Roman"/>
          <w:b/>
          <w:color w:val="212529"/>
          <w:sz w:val="21"/>
        </w:rPr>
        <w:t>TriSpecWaveMambaUQ</w:t>
      </w:r>
      <w:r>
        <w:rPr>
          <w:rFonts w:ascii="Times New Roman" w:hAnsi="Times New Roman"/>
          <w:color w:val="212529"/>
          <w:sz w:val="21"/>
        </w:rPr>
        <w:t>, a parameter-efficient (</w:t>
      </w:r>
      <w:r>
        <w:rPr>
          <w:rFonts w:ascii="Cambria Math" w:hAnsi="Cambria Math"/>
          <w:i/>
          <w:color w:val="212529"/>
          <w:sz w:val="21"/>
        </w:rPr>
        <w:t>6.17 M</w:t>
      </w:r>
      <w:r>
        <w:rPr>
          <w:rFonts w:ascii="Times New Roman" w:hAnsi="Times New Roman"/>
          <w:color w:val="212529"/>
          <w:sz w:val="21"/>
        </w:rPr>
        <w:t xml:space="preserve"> parameter / </w:t>
      </w:r>
      <w:r>
        <w:rPr>
          <w:rFonts w:ascii="Cambria Math" w:hAnsi="Cambria Math"/>
          <w:i/>
          <w:color w:val="212529"/>
          <w:sz w:val="21"/>
        </w:rPr>
        <w:t>1.117 M</w:t>
      </w:r>
      <w:r>
        <w:rPr>
          <w:rFonts w:ascii="Times New Roman" w:hAnsi="Times New Roman"/>
          <w:color w:val="212529"/>
          <w:sz w:val="21"/>
        </w:rPr>
        <w:t xml:space="preserve"> base backbone) deep neural architecture for 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multispectral super-resolution (</w:t>
      </w:r>
      <w:r>
        <w:rPr>
          <w:rFonts w:ascii="Cambria Math" w:hAnsi="Cambria Math"/>
          <w:i/>
          <w:color w:val="212529"/>
          <w:sz w:val="21"/>
        </w:rPr>
        <w:t>10 m → 2.5 m</w:t>
      </w:r>
      <w:r>
        <w:rPr>
          <w:rFonts w:ascii="Times New Roman" w:hAnsi="Times New Roman"/>
          <w:color w:val="212529"/>
          <w:sz w:val="21"/>
        </w:rPr>
        <w:t xml:space="preserve"> equivalent GSD) with calibrated pixel-wise uncertainty quantification. Our model processes all 12 bands via a tri-stream grouped encoder aligned with native sensor resolutions, dynamically mixing inter-band correlations via a 3-node Spectral Graph Attention network and per-pixel continuous State Space Models (SpectralMamba). Spatial features are decomposed via 2D Haar Discrete Wavelet Transforms (HaarDWT), routing low-frequency components through SpatialMamba blocks for linear-complexity global contextualization (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>) and high-frequency details through directional Strip Convolution stacks. Dual output heads simultaneously reconstruct predictive band means (</w:t>
      </w:r>
      <w:r>
        <w:rPr>
          <w:rFonts w:ascii="Cambria Math" w:hAnsi="Cambria Math"/>
          <w:i/>
          <w:color w:val="212529"/>
          <w:sz w:val="21"/>
        </w:rPr>
        <w:t>μ</w:t>
      </w:r>
      <w:r>
        <w:rPr>
          <w:rFonts w:ascii="Times New Roman" w:hAnsi="Times New Roman"/>
          <w:color w:val="212529"/>
          <w:sz w:val="21"/>
        </w:rPr>
        <w:t>) and log-variance uncertainty maps (</w:t>
      </w:r>
      <w:r>
        <w:rPr>
          <w:rFonts w:ascii="Cambria Math" w:hAnsi="Cambria Math"/>
          <w:i/>
          <w:color w:val="212529"/>
          <w:sz w:val="21"/>
        </w:rPr>
        <w:t>log σ²</w:t>
      </w:r>
      <w:r>
        <w:rPr>
          <w:rFonts w:ascii="Times New Roman" w:hAnsi="Times New Roman"/>
          <w:color w:val="212529"/>
          <w:sz w:val="21"/>
        </w:rPr>
        <w:t>) optimized under a heteroscedastic Gaussian negative log-likelihood objective.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Quantitative benchmarks against Bicubic interpolation and the state-of-the-art OpenSR-SRGAN teacher demonstrate that our framework achieves superior radiometric and structural fidelity: </w:t>
      </w:r>
      <w:r>
        <w:rPr>
          <w:rFonts w:ascii="Times New Roman" w:hAnsi="Times New Roman"/>
          <w:b/>
          <w:color w:val="212529"/>
          <w:sz w:val="21"/>
        </w:rPr>
        <w:t>32.17 dB PSNR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+2.13 dB</w:t>
      </w:r>
      <w:r>
        <w:rPr>
          <w:rFonts w:ascii="Times New Roman" w:hAnsi="Times New Roman"/>
          <w:color w:val="212529"/>
          <w:sz w:val="21"/>
        </w:rPr>
        <w:t xml:space="preserve"> gain), </w:t>
      </w:r>
      <w:r>
        <w:rPr>
          <w:rFonts w:ascii="Times New Roman" w:hAnsi="Times New Roman"/>
          <w:b/>
          <w:color w:val="212529"/>
          <w:sz w:val="21"/>
        </w:rPr>
        <w:t>0.8754 SSIM</w:t>
      </w:r>
      <w:r>
        <w:rPr>
          <w:rFonts w:ascii="Times New Roman" w:hAnsi="Times New Roman"/>
          <w:color w:val="212529"/>
          <w:sz w:val="21"/>
        </w:rPr>
        <w:t xml:space="preserve">, an </w:t>
      </w:r>
      <w:r>
        <w:rPr>
          <w:rFonts w:ascii="Times New Roman" w:hAnsi="Times New Roman"/>
          <w:b/>
          <w:color w:val="212529"/>
          <w:sz w:val="21"/>
        </w:rPr>
        <w:t>18.2\% reduction in Spectral Angle Mapper (SAM) error (0.0198 rad / 1.13°)</w:t>
      </w:r>
      <w:r>
        <w:rPr>
          <w:rFonts w:ascii="Times New Roman" w:hAnsi="Times New Roman"/>
          <w:color w:val="212529"/>
          <w:sz w:val="21"/>
        </w:rPr>
        <w:t xml:space="preserve">, and a </w:t>
      </w:r>
      <w:r>
        <w:rPr>
          <w:rFonts w:ascii="Times New Roman" w:hAnsi="Times New Roman"/>
          <w:b/>
          <w:color w:val="212529"/>
          <w:sz w:val="21"/>
        </w:rPr>
        <w:t>28.7\% reduction in NDVI mean absolute error (0.0161)</w:t>
      </w:r>
      <w:r>
        <w:rPr>
          <w:rFonts w:ascii="Times New Roman" w:hAnsi="Times New Roman"/>
          <w:color w:val="212529"/>
          <w:sz w:val="21"/>
        </w:rPr>
        <w:t xml:space="preserve">, while executing in </w:t>
      </w:r>
      <w:r>
        <w:rPr>
          <w:rFonts w:ascii="Times New Roman" w:hAnsi="Times New Roman"/>
          <w:b/>
          <w:color w:val="212529"/>
          <w:sz w:val="21"/>
        </w:rPr>
        <w:t>24.96 ms</w:t>
      </w:r>
      <w:r>
        <w:rPr>
          <w:rFonts w:ascii="Times New Roman" w:hAnsi="Times New Roman"/>
          <w:color w:val="212529"/>
          <w:sz w:val="21"/>
        </w:rPr>
        <w:t xml:space="preserve"> per tile with only </w:t>
      </w:r>
      <w:r>
        <w:rPr>
          <w:rFonts w:ascii="Times New Roman" w:hAnsi="Times New Roman"/>
          <w:b/>
          <w:color w:val="212529"/>
          <w:sz w:val="21"/>
        </w:rPr>
        <w:t>270 MB peak VRAM</w:t>
      </w:r>
      <w:r>
        <w:rPr>
          <w:rFonts w:ascii="Times New Roman" w:hAnsi="Times New Roman"/>
          <w:color w:val="212529"/>
          <w:sz w:val="21"/>
        </w:rPr>
        <w:t>. Crucially, the model's calibrated uncertainty maps successfully localize ambiguous land-cover boundaries and cloud fringes, establishing an operational benchmark for reliable Earth observation.</w:t>
      </w:r>
    </w:p>
    <w:p>
      <w:pPr>
        <w:spacing w:before="80" w:after="160" w:line="276" w:lineRule="auto"/>
      </w:pPr>
      <w:r>
        <w:rPr>
          <w:rFonts w:ascii="Times New Roman" w:hAnsi="Times New Roman"/>
          <w:b/>
          <w:color w:val="212529"/>
          <w:sz w:val="20"/>
        </w:rPr>
        <w:t>Keywords:</w:t>
      </w:r>
      <w:r>
        <w:rPr>
          <w:rFonts w:ascii="Times New Roman" w:hAnsi="Times New Roman"/>
          <w:color w:val="212529"/>
          <w:sz w:val="20"/>
        </w:rPr>
        <w:t xml:space="preserve"> Sentinel-2 MSI, Multispectral Super-Resolution, State Space Models (SSM), Mamba, Haar Discrete Wavelet Transform, Uncertainty Quantification, Physics-Informed Neural Networks, Modulation Transfer Function (MTF), Remote Sensing.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I. Introduction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Satellite Earth observation provides the sensory foundation for planetary monitoring, climate change tracking, food security forecasting, and disaster mitigation. The Multi-Spectral Instrument (MSI) aboard the European Space Agency's (ESA) Copernicus Sentinel-2 constellation represents the operational gold standard in open-access optical Earth observation. MSI acquires 12 distinct reflective spectral bands spanning from the visible and near-infrared (VNIR) to the short-wave infrared (SWIR) spectrum.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However, optical satellite payload design involves fundamental physical trade-offs between swath width, Signal-to-Noise Ratio (SNR), and spatial detector sampling. Consequently, Sentinel-2 distributes its 12 reflective bands across three disparate Ground Sampling Distances (GSD):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10 m High-Resolution Bands:</w:t>
      </w:r>
      <w:r>
        <w:rPr>
          <w:rFonts w:ascii="Times New Roman" w:hAnsi="Times New Roman"/>
          <w:color w:val="212529"/>
          <w:sz w:val="21"/>
        </w:rPr>
        <w:t xml:space="preserve"> Band 2 (Blue, </w:t>
      </w:r>
      <w:r>
        <w:rPr>
          <w:rFonts w:ascii="Cambria Math" w:hAnsi="Cambria Math"/>
          <w:i/>
          <w:color w:val="212529"/>
          <w:sz w:val="21"/>
        </w:rPr>
        <w:t>490 nm</w:t>
      </w:r>
      <w:r>
        <w:rPr>
          <w:rFonts w:ascii="Times New Roman" w:hAnsi="Times New Roman"/>
          <w:color w:val="212529"/>
          <w:sz w:val="21"/>
        </w:rPr>
        <w:t xml:space="preserve">), Band 3 (Green, </w:t>
      </w:r>
      <w:r>
        <w:rPr>
          <w:rFonts w:ascii="Cambria Math" w:hAnsi="Cambria Math"/>
          <w:i/>
          <w:color w:val="212529"/>
          <w:sz w:val="21"/>
        </w:rPr>
        <w:t>560 nm</w:t>
      </w:r>
      <w:r>
        <w:rPr>
          <w:rFonts w:ascii="Times New Roman" w:hAnsi="Times New Roman"/>
          <w:color w:val="212529"/>
          <w:sz w:val="21"/>
        </w:rPr>
        <w:t xml:space="preserve">), Band 4 (Red, </w:t>
      </w:r>
      <w:r>
        <w:rPr>
          <w:rFonts w:ascii="Cambria Math" w:hAnsi="Cambria Math"/>
          <w:i/>
          <w:color w:val="212529"/>
          <w:sz w:val="21"/>
        </w:rPr>
        <w:t>665 nm</w:t>
      </w:r>
      <w:r>
        <w:rPr>
          <w:rFonts w:ascii="Times New Roman" w:hAnsi="Times New Roman"/>
          <w:color w:val="212529"/>
          <w:sz w:val="21"/>
        </w:rPr>
        <w:t xml:space="preserve">), and Band 8 (Broad NIR, </w:t>
      </w:r>
      <w:r>
        <w:rPr>
          <w:rFonts w:ascii="Cambria Math" w:hAnsi="Cambria Math"/>
          <w:i/>
          <w:color w:val="212529"/>
          <w:sz w:val="21"/>
        </w:rPr>
        <w:t>842 nm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20 m Medium-Resolution Bands:</w:t>
      </w:r>
      <w:r>
        <w:rPr>
          <w:rFonts w:ascii="Times New Roman" w:hAnsi="Times New Roman"/>
          <w:color w:val="212529"/>
          <w:sz w:val="21"/>
        </w:rPr>
        <w:t xml:space="preserve"> Band 5 (Red Edge 1, </w:t>
      </w:r>
      <w:r>
        <w:rPr>
          <w:rFonts w:ascii="Cambria Math" w:hAnsi="Cambria Math"/>
          <w:i/>
          <w:color w:val="212529"/>
          <w:sz w:val="21"/>
        </w:rPr>
        <w:t>705 nm</w:t>
      </w:r>
      <w:r>
        <w:rPr>
          <w:rFonts w:ascii="Times New Roman" w:hAnsi="Times New Roman"/>
          <w:color w:val="212529"/>
          <w:sz w:val="21"/>
        </w:rPr>
        <w:t xml:space="preserve">), Band 6 (Red Edge 2, </w:t>
      </w:r>
      <w:r>
        <w:rPr>
          <w:rFonts w:ascii="Cambria Math" w:hAnsi="Cambria Math"/>
          <w:i/>
          <w:color w:val="212529"/>
          <w:sz w:val="21"/>
        </w:rPr>
        <w:t>740 nm</w:t>
      </w:r>
      <w:r>
        <w:rPr>
          <w:rFonts w:ascii="Times New Roman" w:hAnsi="Times New Roman"/>
          <w:color w:val="212529"/>
          <w:sz w:val="21"/>
        </w:rPr>
        <w:t xml:space="preserve">), Band 7 (Red Edge 3, </w:t>
      </w:r>
      <w:r>
        <w:rPr>
          <w:rFonts w:ascii="Cambria Math" w:hAnsi="Cambria Math"/>
          <w:i/>
          <w:color w:val="212529"/>
          <w:sz w:val="21"/>
        </w:rPr>
        <w:t>783 nm</w:t>
      </w:r>
      <w:r>
        <w:rPr>
          <w:rFonts w:ascii="Times New Roman" w:hAnsi="Times New Roman"/>
          <w:color w:val="212529"/>
          <w:sz w:val="21"/>
        </w:rPr>
        <w:t xml:space="preserve">), Band 8A (Narrow NIR, </w:t>
      </w:r>
      <w:r>
        <w:rPr>
          <w:rFonts w:ascii="Cambria Math" w:hAnsi="Cambria Math"/>
          <w:i/>
          <w:color w:val="212529"/>
          <w:sz w:val="21"/>
        </w:rPr>
        <w:t>865 nm</w:t>
      </w:r>
      <w:r>
        <w:rPr>
          <w:rFonts w:ascii="Times New Roman" w:hAnsi="Times New Roman"/>
          <w:color w:val="212529"/>
          <w:sz w:val="21"/>
        </w:rPr>
        <w:t xml:space="preserve">), Band 11 (SWIR-1, </w:t>
      </w:r>
      <w:r>
        <w:rPr>
          <w:rFonts w:ascii="Cambria Math" w:hAnsi="Cambria Math"/>
          <w:i/>
          <w:color w:val="212529"/>
          <w:sz w:val="21"/>
        </w:rPr>
        <w:t>1610 nm</w:t>
      </w:r>
      <w:r>
        <w:rPr>
          <w:rFonts w:ascii="Times New Roman" w:hAnsi="Times New Roman"/>
          <w:color w:val="212529"/>
          <w:sz w:val="21"/>
        </w:rPr>
        <w:t xml:space="preserve">), and Band 12 (SWIR-2, </w:t>
      </w:r>
      <w:r>
        <w:rPr>
          <w:rFonts w:ascii="Cambria Math" w:hAnsi="Cambria Math"/>
          <w:i/>
          <w:color w:val="212529"/>
          <w:sz w:val="21"/>
        </w:rPr>
        <w:t>2190 nm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60 m Coarse Atmospheric Bands:</w:t>
      </w:r>
      <w:r>
        <w:rPr>
          <w:rFonts w:ascii="Times New Roman" w:hAnsi="Times New Roman"/>
          <w:color w:val="212529"/>
          <w:sz w:val="21"/>
        </w:rPr>
        <w:t xml:space="preserve"> Band 1 (Coastal Aerosol, </w:t>
      </w:r>
      <w:r>
        <w:rPr>
          <w:rFonts w:ascii="Cambria Math" w:hAnsi="Cambria Math"/>
          <w:i/>
          <w:color w:val="212529"/>
          <w:sz w:val="21"/>
        </w:rPr>
        <w:t>443 nm</w:t>
      </w:r>
      <w:r>
        <w:rPr>
          <w:rFonts w:ascii="Times New Roman" w:hAnsi="Times New Roman"/>
          <w:color w:val="212529"/>
          <w:sz w:val="21"/>
        </w:rPr>
        <w:t xml:space="preserve">) and Band 9 (Water Vapor, </w:t>
      </w:r>
      <w:r>
        <w:rPr>
          <w:rFonts w:ascii="Cambria Math" w:hAnsi="Cambria Math"/>
          <w:i/>
          <w:color w:val="212529"/>
          <w:sz w:val="21"/>
        </w:rPr>
        <w:t>945 nm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Super-resolving all 12 bands to a uniform sub-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resolution (specifically, a 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factor downscaling to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equivalent GSD) is essential for precision agriculture, wildfire burn-scar severity mapping, urban infrastructure monitoring, and environmental hazard tracking. Despite substantial progress in Single-Image Super-Resolution (SISR), four fundamental bottlenecks persist: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Native Sensor Resolution Heterogeneity:</w:t>
      </w:r>
      <w:r>
        <w:rPr>
          <w:rFonts w:ascii="Times New Roman" w:hAnsi="Times New Roman"/>
          <w:color w:val="212529"/>
          <w:sz w:val="21"/>
        </w:rPr>
        <w:t xml:space="preserve"> Conventional SISR architectures assume uniform 3-channel RGB inputs. Applying them to Sentinel-2 requires naively upsampling coarse </w:t>
      </w:r>
      <w:r>
        <w:rPr>
          <w:rFonts w:ascii="Cambria Math" w:hAnsi="Cambria Math"/>
          <w:i/>
          <w:color w:val="212529"/>
          <w:sz w:val="21"/>
        </w:rPr>
        <w:t>20 m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60 m</w:t>
      </w:r>
      <w:r>
        <w:rPr>
          <w:rFonts w:ascii="Times New Roman" w:hAnsi="Times New Roman"/>
          <w:color w:val="212529"/>
          <w:sz w:val="21"/>
        </w:rPr>
        <w:t xml:space="preserve"> bands via bilinear or bicubic interpolation before feature extraction. This crude step blurs fine-scale spectral band correlations and distorts downstream vegetation and moisture indices.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Receptive Field vs. Complexity Dilemma:</w:t>
      </w:r>
      <w:r>
        <w:rPr>
          <w:rFonts w:ascii="Times New Roman" w:hAnsi="Times New Roman"/>
          <w:color w:val="212529"/>
          <w:sz w:val="21"/>
        </w:rPr>
        <w:t xml:space="preserve"> Convolutional Neural Networks (CNNs) are constrained by localized receptive fields, failing to aggregate macro-scale geographical context. Conversely, Vision Transformers (ViTs) incur quadratic computational complexity </w:t>
      </w:r>
      <w:r>
        <w:rPr>
          <w:rFonts w:ascii="Cambria Math" w:hAnsi="Cambria Math"/>
          <w:i/>
          <w:color w:val="212529"/>
          <w:sz w:val="21"/>
        </w:rPr>
        <w:t>O((H × W)²)</w:t>
      </w:r>
      <w:r>
        <w:rPr>
          <w:rFonts w:ascii="Times New Roman" w:hAnsi="Times New Roman"/>
          <w:color w:val="212529"/>
          <w:sz w:val="21"/>
        </w:rPr>
        <w:t>, making deployment over large satellite orthomosaics computationally prohibitive and prone to window tiling artifacts.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The Hallucination vs. Blur Trade-Off:</w:t>
      </w:r>
      <w:r>
        <w:rPr>
          <w:rFonts w:ascii="Times New Roman" w:hAnsi="Times New Roman"/>
          <w:color w:val="212529"/>
          <w:sz w:val="21"/>
        </w:rPr>
        <w:t xml:space="preserve"> Optimizing models under pixel-wise regression losses (</w:t>
      </w:r>
      <w:r>
        <w:rPr>
          <w:rFonts w:ascii="Cambria Math" w:hAnsi="Cambria Math"/>
          <w:i/>
          <w:color w:val="212529"/>
          <w:sz w:val="21"/>
        </w:rPr>
        <w:t>L_1</w:t>
      </w:r>
      <w:r>
        <w:rPr>
          <w:rFonts w:ascii="Times New Roman" w:hAnsi="Times New Roman"/>
          <w:color w:val="212529"/>
          <w:sz w:val="21"/>
        </w:rPr>
        <w:t xml:space="preserve"> or </w:t>
      </w:r>
      <w:r>
        <w:rPr>
          <w:rFonts w:ascii="Cambria Math" w:hAnsi="Cambria Math"/>
          <w:i/>
          <w:color w:val="212529"/>
          <w:sz w:val="21"/>
        </w:rPr>
        <w:t>L_2</w:t>
      </w:r>
      <w:r>
        <w:rPr>
          <w:rFonts w:ascii="Times New Roman" w:hAnsi="Times New Roman"/>
          <w:color w:val="212529"/>
          <w:sz w:val="21"/>
        </w:rPr>
        <w:t xml:space="preserve">) produces overly smooth, blurry outputs by predicting the conditional mean </w:t>
      </w:r>
      <w:r>
        <w:rPr>
          <w:rFonts w:ascii="Cambria Math" w:hAnsi="Cambria Math"/>
          <w:i/>
          <w:color w:val="212529"/>
          <w:sz w:val="21"/>
        </w:rPr>
        <w:t>E[x | y]</w:t>
      </w:r>
      <w:r>
        <w:rPr>
          <w:rFonts w:ascii="Times New Roman" w:hAnsi="Times New Roman"/>
          <w:color w:val="212529"/>
          <w:sz w:val="21"/>
        </w:rPr>
        <w:t>. Unconstrained Generative Adversarial Networks (GANs) produce sharp textures, but often hallucinate non-existent features (e.g., spurious roads or buildings) that corrupt scientific analysis.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The Reliability Void:</w:t>
      </w:r>
      <w:r>
        <w:rPr>
          <w:rFonts w:ascii="Times New Roman" w:hAnsi="Times New Roman"/>
          <w:color w:val="212529"/>
          <w:sz w:val="21"/>
        </w:rPr>
        <w:t xml:space="preserve"> Operational decision systems require calibrated confidence bounds. Current super-resolution models operate as deterministic black boxes with zero awareness of their own predictive uncertainty in complex terrains, shadows, or cloud fringes.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Contributions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To address these challenges, we introduce </w:t>
      </w:r>
      <w:r>
        <w:rPr>
          <w:rFonts w:ascii="Times New Roman" w:hAnsi="Times New Roman"/>
          <w:b/>
          <w:color w:val="212529"/>
          <w:sz w:val="21"/>
        </w:rPr>
        <w:t>TriSpecWaveMambaUQ</w:t>
      </w:r>
      <w:r>
        <w:rPr>
          <w:rFonts w:ascii="Times New Roman" w:hAnsi="Times New Roman"/>
          <w:color w:val="212529"/>
          <w:sz w:val="21"/>
        </w:rPr>
        <w:t xml:space="preserve">, an end-to-end physics-informed framework for 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multispectral super-resolution (</w:t>
      </w:r>
      <w:r>
        <w:rPr>
          <w:rFonts w:ascii="Cambria Math" w:hAnsi="Cambria Math"/>
          <w:i/>
          <w:color w:val="212529"/>
          <w:sz w:val="21"/>
        </w:rPr>
        <w:t>10 m → 2.5 m</w:t>
      </w:r>
      <w:r>
        <w:rPr>
          <w:rFonts w:ascii="Times New Roman" w:hAnsi="Times New Roman"/>
          <w:color w:val="212529"/>
          <w:sz w:val="21"/>
        </w:rPr>
        <w:t>) across all 12 Sentinel-2 MSI bands: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Tri-Stream Grouped Encoder:</w:t>
      </w:r>
      <w:r>
        <w:rPr>
          <w:rFonts w:ascii="Times New Roman" w:hAnsi="Times New Roman"/>
          <w:color w:val="212529"/>
          <w:sz w:val="21"/>
        </w:rPr>
        <w:t xml:space="preserve"> Ingests bands at their native resolutions (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Cambria Math" w:hAnsi="Cambria Math"/>
          <w:i/>
          <w:color w:val="212529"/>
          <w:sz w:val="21"/>
        </w:rPr>
        <w:t>20 m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Cambria Math" w:hAnsi="Cambria Math"/>
          <w:i/>
          <w:color w:val="212529"/>
          <w:sz w:val="21"/>
        </w:rPr>
        <w:t>60 m</w:t>
      </w:r>
      <w:r>
        <w:rPr>
          <w:rFonts w:ascii="Times New Roman" w:hAnsi="Times New Roman"/>
          <w:color w:val="212529"/>
          <w:sz w:val="21"/>
        </w:rPr>
        <w:t>) and fuses them via a lightweight Gated Bilinear Upsampler.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Continuous Spectral State Space Modeling:</w:t>
      </w:r>
      <w:r>
        <w:rPr>
          <w:rFonts w:ascii="Times New Roman" w:hAnsi="Times New Roman"/>
          <w:color w:val="212529"/>
          <w:sz w:val="21"/>
        </w:rPr>
        <w:t xml:space="preserve"> Pairs a 3-node Spectral Graph Attention network with a continuous-wavelength State Space Model (</w:t>
      </w:r>
      <w:r>
        <w:rPr>
          <w:rFonts w:ascii="Consolas" w:hAnsi="Consolas"/>
          <w:color w:val="A0283C"/>
          <w:sz w:val="20"/>
        </w:rPr>
        <w:t>SpectralMamba</w:t>
      </w:r>
      <w:r>
        <w:rPr>
          <w:rFonts w:ascii="Times New Roman" w:hAnsi="Times New Roman"/>
          <w:color w:val="212529"/>
          <w:sz w:val="21"/>
        </w:rPr>
        <w:t xml:space="preserve">) to model cross-band radiative dependencies in </w:t>
      </w:r>
      <w:r>
        <w:rPr>
          <w:rFonts w:ascii="Cambria Math" w:hAnsi="Cambria Math"/>
          <w:i/>
          <w:color w:val="212529"/>
          <w:sz w:val="21"/>
        </w:rPr>
        <w:t>O(C)</w:t>
      </w:r>
      <w:r>
        <w:rPr>
          <w:rFonts w:ascii="Times New Roman" w:hAnsi="Times New Roman"/>
          <w:color w:val="212529"/>
          <w:sz w:val="21"/>
        </w:rPr>
        <w:t xml:space="preserve"> complexity.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Frequency-Decoupled Spatial Processing:</w:t>
      </w:r>
      <w:r>
        <w:rPr>
          <w:rFonts w:ascii="Times New Roman" w:hAnsi="Times New Roman"/>
          <w:color w:val="212529"/>
          <w:sz w:val="21"/>
        </w:rPr>
        <w:t xml:space="preserve"> Leverages a 2D Haar Discrete Wavelet Transform (</w:t>
      </w:r>
      <w:r>
        <w:rPr>
          <w:rFonts w:ascii="Consolas" w:hAnsi="Consolas"/>
          <w:color w:val="A0283C"/>
          <w:sz w:val="20"/>
        </w:rPr>
        <w:t>HaarDWT2D</w:t>
      </w:r>
      <w:r>
        <w:rPr>
          <w:rFonts w:ascii="Times New Roman" w:hAnsi="Times New Roman"/>
          <w:color w:val="212529"/>
          <w:sz w:val="21"/>
        </w:rPr>
        <w:t xml:space="preserve">) to route low-frequency features through a linear-complexity 2D </w:t>
      </w:r>
      <w:r>
        <w:rPr>
          <w:rFonts w:ascii="Consolas" w:hAnsi="Consolas"/>
          <w:color w:val="A0283C"/>
          <w:sz w:val="20"/>
        </w:rPr>
        <w:t>SpatialMamba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 xml:space="preserve">) and high-frequency details through directional </w:t>
      </w:r>
      <w:r>
        <w:rPr>
          <w:rFonts w:ascii="Consolas" w:hAnsi="Consolas"/>
          <w:color w:val="A0283C"/>
          <w:sz w:val="20"/>
        </w:rPr>
        <w:t>StripConv</w:t>
      </w:r>
      <w:r>
        <w:rPr>
          <w:rFonts w:ascii="Times New Roman" w:hAnsi="Times New Roman"/>
          <w:color w:val="212529"/>
          <w:sz w:val="21"/>
        </w:rPr>
        <w:t xml:space="preserve"> stacks.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Physical Sensor MTF Constraint:</w:t>
      </w:r>
      <w:r>
        <w:rPr>
          <w:rFonts w:ascii="Times New Roman" w:hAnsi="Times New Roman"/>
          <w:color w:val="212529"/>
          <w:sz w:val="21"/>
        </w:rPr>
        <w:t xml:space="preserve"> Incorporates a closed-loop optical Point Spread Function / Modulation Transfer Function (MTF) degradation loss to guarantee radiometric conservation.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Calibrated Uncertainty Quantification:</w:t>
      </w:r>
      <w:r>
        <w:rPr>
          <w:rFonts w:ascii="Times New Roman" w:hAnsi="Times New Roman"/>
          <w:color w:val="212529"/>
          <w:sz w:val="21"/>
        </w:rPr>
        <w:t xml:space="preserve"> Simultaneously predicts the surface reflectance mean </w:t>
      </w:r>
      <w:r>
        <w:rPr>
          <w:rFonts w:ascii="Cambria Math" w:hAnsi="Cambria Math"/>
          <w:i/>
          <w:color w:val="212529"/>
          <w:sz w:val="21"/>
        </w:rPr>
        <w:t>μ</w:t>
      </w:r>
      <w:r>
        <w:rPr>
          <w:rFonts w:ascii="Times New Roman" w:hAnsi="Times New Roman"/>
          <w:color w:val="212529"/>
          <w:sz w:val="21"/>
        </w:rPr>
        <w:t xml:space="preserve"> and pixel-wise log-variance </w:t>
      </w:r>
      <w:r>
        <w:rPr>
          <w:rFonts w:ascii="Cambria Math" w:hAnsi="Cambria Math"/>
          <w:i/>
          <w:color w:val="212529"/>
          <w:sz w:val="21"/>
        </w:rPr>
        <w:t>log σ²</w:t>
      </w:r>
      <w:r>
        <w:rPr>
          <w:rFonts w:ascii="Times New Roman" w:hAnsi="Times New Roman"/>
          <w:color w:val="212529"/>
          <w:sz w:val="21"/>
        </w:rPr>
        <w:t xml:space="preserve"> under a heteroscedastic Gaussian Negative Log-Likelihood objective.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Pareto-Optimal Efficiency:</w:t>
      </w:r>
      <w:r>
        <w:rPr>
          <w:rFonts w:ascii="Times New Roman" w:hAnsi="Times New Roman"/>
          <w:color w:val="212529"/>
          <w:sz w:val="21"/>
        </w:rPr>
        <w:t xml:space="preserve"> Achieves state-of-the-art results (</w:t>
      </w:r>
      <w:r>
        <w:rPr>
          <w:rFonts w:ascii="Times New Roman" w:hAnsi="Times New Roman"/>
          <w:b/>
          <w:color w:val="212529"/>
          <w:sz w:val="21"/>
        </w:rPr>
        <w:t>32.17 dB PSNR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Times New Roman" w:hAnsi="Times New Roman"/>
          <w:b/>
          <w:color w:val="212529"/>
          <w:sz w:val="21"/>
        </w:rPr>
        <w:t>0.8754 SSIM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Times New Roman" w:hAnsi="Times New Roman"/>
          <w:b/>
          <w:color w:val="212529"/>
          <w:sz w:val="21"/>
        </w:rPr>
        <w:t>0.0198 rad SAM</w:t>
      </w:r>
      <w:r>
        <w:rPr>
          <w:rFonts w:ascii="Times New Roman" w:hAnsi="Times New Roman"/>
          <w:color w:val="212529"/>
          <w:sz w:val="21"/>
        </w:rPr>
        <w:t xml:space="preserve">) with a compact </w:t>
      </w:r>
      <w:r>
        <w:rPr>
          <w:rFonts w:ascii="Times New Roman" w:hAnsi="Times New Roman"/>
          <w:b/>
          <w:color w:val="212529"/>
          <w:sz w:val="21"/>
        </w:rPr>
        <w:t>6.17 M parameter footprint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1.117 M</w:t>
      </w:r>
      <w:r>
        <w:rPr>
          <w:rFonts w:ascii="Times New Roman" w:hAnsi="Times New Roman"/>
          <w:color w:val="212529"/>
          <w:sz w:val="21"/>
        </w:rPr>
        <w:t xml:space="preserve"> base backbone), running in </w:t>
      </w:r>
      <w:r>
        <w:rPr>
          <w:rFonts w:ascii="Times New Roman" w:hAnsi="Times New Roman"/>
          <w:b/>
          <w:color w:val="212529"/>
          <w:sz w:val="21"/>
        </w:rPr>
        <w:t>24.96 ms</w:t>
      </w:r>
      <w:r>
        <w:rPr>
          <w:rFonts w:ascii="Times New Roman" w:hAnsi="Times New Roman"/>
          <w:color w:val="212529"/>
          <w:sz w:val="21"/>
        </w:rPr>
        <w:t xml:space="preserve"> with </w:t>
      </w:r>
      <w:r>
        <w:rPr>
          <w:rFonts w:ascii="Times New Roman" w:hAnsi="Times New Roman"/>
          <w:b/>
          <w:color w:val="212529"/>
          <w:sz w:val="21"/>
        </w:rPr>
        <w:t>270 MB peak VRAM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II. Related Work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Single-Image Super-Resolution (SISR) has evolved from early convolutional models to generative adversarial networks, vision transformers, and state space architectures. Table I summarizes key models in this evolution.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I: Chronological Comparison of Super-Resolution Architectures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rPr>
          <w:tblHeader/>
        </w:trPr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Family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Bands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Complexity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Physics / MTF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UQ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Strengths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Limitations in Sentinel-2 Context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SRCNN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(2014)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CNN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First end-to-end deep SISR network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Pre-upsampling creates high compute overhead; tiny receptive field; ignores spectral correlations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VDSR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(2016)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Residual CNN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O(L · K² N)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Very deep residual learning with gradient clipping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High memory in HR space; oversmooths parcel boundaries; ignores cross-band physics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EDSR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(2017)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Residual CNN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O(B · K² N)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Strips BN to expand dynamic range; sub-pixel upsampling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Large parameter footprint (~43M); purely isotropic; cannot handle multi-resolution inputs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SRGAN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(2017)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GAN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Relativistic GAN loss for perceptual sharpness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Severe geometric/radiometric hallucinations; distorts quantitative spectral indices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DSen2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(2018)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RS CNN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Sentinel-2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12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Partial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Foundational baseline; conditions 20m/60m on 10m bands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Strictly limited to 10m downscaling (cannot reach 2.5m); isotropic L1 blur; deterministic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RCAN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(2018)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Attention CNN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 + O(C²)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Channel attention for deep residual networks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Treats channels as abstract features rather than physical wavelengths; isotropic kernels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ESRGAN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(2018)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GAN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Dense blocks and RaGAN for realistic micro-textures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Corrupts radiometric integrity; uncalibrated reflectance spikes alter vegetation indices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HighRes-net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(2020)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Multi-Frame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RS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1–4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O(T · K² N)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Partial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Fuses sub-pixel shifts across temporal revisits (</w:t>
            </w:r>
            <w:r>
              <w:rPr>
                <w:rFonts w:ascii="Cambria Math" w:hAnsi="Cambria Math"/>
                <w:i/>
                <w:color w:val="212529"/>
                <w:sz w:val="18"/>
              </w:rPr>
              <w:t>T ≥ 9</w:t>
            </w:r>
            <w:r>
              <w:rPr>
                <w:rFonts w:ascii="Times New Roman" w:hAnsi="Times New Roman"/>
                <w:color w:val="212529"/>
                <w:sz w:val="18"/>
              </w:rPr>
              <w:t>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Strictly requires cloud-free temporal series; vulnerable to phenology changes and registration errors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SwinIR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(2021)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Transformer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O(M² N)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Shifted-window self-attention for image restoration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Boundary tiling artifacts across large satellite tiles; heavy memory overhead; no spectral reasoning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Restormer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(2022)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Transformer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O(C² N)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Transposed channel attention with linear spatial scaling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Latent channel attention ignores continuous physical wavelengths; computationally heavy for 12 bands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OpenSR-SRGAN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(2023)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RS GAN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RS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4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O(K² N)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Empirical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Trained on registered cross-sensor satellite pairs (</w:t>
            </w:r>
            <w:r>
              <w:rPr>
                <w:rFonts w:ascii="Cambria Math" w:hAnsi="Cambria Math"/>
                <w:i/>
                <w:color w:val="212529"/>
                <w:sz w:val="18"/>
              </w:rPr>
              <w:t>10m → 2.5m</w:t>
            </w:r>
            <w:r>
              <w:rPr>
                <w:rFonts w:ascii="Times New Roman" w:hAnsi="Times New Roman"/>
                <w:color w:val="212529"/>
                <w:sz w:val="18"/>
              </w:rPr>
              <w:t>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Strictly limited to 4 bands (RGB-NIR); hallucinates textures; high latency (~47 ms); no UQ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MambaIR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(2024)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SSM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RGB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O(N)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Linear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No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First SSM baseline for natural image restoration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Restricted to 3-band RGB; raster scans ignore anisotropic road/parcel boundaries; purely deterministic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TriSpecWaveMambaUQ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color w:val="212529"/>
                <w:sz w:val="18"/>
              </w:rPr>
              <w:t>(Ours)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Hybrid SSM + UQ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Multispectral RS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Full 12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O(N) Spatial + O(C) Spectral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Yes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Yes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Simultaneous 12-band 4× downscaling to 2.5m; physical wavelength conditioning; Haar wavelet decoupling; calibrated UQ; 6.17M params; 24.96 ms latency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Bounded slight smoothing on ultra-dense stochastic micro-textures, transparently flagged by uncertainty maps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Key Takeaways from Literature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From Local Convolutions to Global State Spaces:</w:t>
      </w:r>
      <w:r>
        <w:rPr>
          <w:rFonts w:ascii="Times New Roman" w:hAnsi="Times New Roman"/>
          <w:color w:val="212529"/>
          <w:sz w:val="21"/>
        </w:rPr>
        <w:t xml:space="preserve"> While CNNs are spatially constrained and Transformers suffer from quadratic complexity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, State Space Models (Mamba) achieve global receptive fields with linear computational complexity 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Frequency Decoupling:</w:t>
      </w:r>
      <w:r>
        <w:rPr>
          <w:rFonts w:ascii="Times New Roman" w:hAnsi="Times New Roman"/>
          <w:color w:val="212529"/>
          <w:sz w:val="21"/>
        </w:rPr>
        <w:t xml:space="preserve"> Wavelet decompositions (Haar DWT) losslessly separate smooth radiometric background illumination from high-frequency structural edges, enabling specialized architectural routing.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Physics-Informed Guardrails:</w:t>
      </w:r>
      <w:r>
        <w:rPr>
          <w:rFonts w:ascii="Times New Roman" w:hAnsi="Times New Roman"/>
          <w:color w:val="212529"/>
          <w:sz w:val="21"/>
        </w:rPr>
        <w:t xml:space="preserve"> Unconstrained super-resolution models frequently drift from true physical reflectance. Incorporating sensor Point Spread Function (PSF) and Modulation Transfer Function (MTF) degradation constraints prevents spectral distortion.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Reliability via Uncertainty Quantification:</w:t>
      </w:r>
      <w:r>
        <w:rPr>
          <w:rFonts w:ascii="Times New Roman" w:hAnsi="Times New Roman"/>
          <w:color w:val="212529"/>
          <w:sz w:val="21"/>
        </w:rPr>
        <w:t xml:space="preserve"> In ill-posed inverse problems, predicting both the mean reflectance and the input-dependent aleatoric uncertainty under a Negative Log-Likelihood objective provides an interpretable confidence metric for automated downstream pipelines.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III. Proposed Methodology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A. Architectural Overview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TriSpecWaveMambaUQ super-resolves all 12 Sentinel-2 bands from their native resolutions (</w:t>
      </w:r>
      <w:r>
        <w:rPr>
          <w:rFonts w:ascii="Cambria Math" w:hAnsi="Cambria Math"/>
          <w:i/>
          <w:color w:val="212529"/>
          <w:sz w:val="21"/>
        </w:rPr>
        <w:t>10 m, 20 m, 60 m</w:t>
      </w:r>
      <w:r>
        <w:rPr>
          <w:rFonts w:ascii="Times New Roman" w:hAnsi="Times New Roman"/>
          <w:color w:val="212529"/>
          <w:sz w:val="21"/>
        </w:rPr>
        <w:t xml:space="preserve">) to a uniform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Ground Sampling Distance (</w:t>
      </w:r>
      <w:r>
        <w:rPr>
          <w:rFonts w:ascii="Cambria Math" w:hAnsi="Cambria Math"/>
          <w:i/>
          <w:color w:val="212529"/>
          <w:sz w:val="21"/>
        </w:rPr>
        <w:t>4×</w:t>
      </w:r>
      <w:r>
        <w:rPr>
          <w:rFonts w:ascii="Times New Roman" w:hAnsi="Times New Roman"/>
          <w:color w:val="212529"/>
          <w:sz w:val="21"/>
        </w:rPr>
        <w:t xml:space="preserve"> scale factor).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5F7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93B"/>
                <w:sz w:val="17"/>
              </w:rPr>
              <w:t>========================================================================================</w:t>
              <w:br/>
              <w:t xml:space="preserve">                          TriSpecWaveMambaUQ PIPELINE OVERVIEW</w:t>
              <w:br/>
              <w:t>========================================================================================</w:t>
              <w:br/>
              <w:t xml:space="preserve"> Input: 12 Sentinel-2 Bands [B2,B3,B4,B8 (10m) | B5,B6,B7,B8A,B11,B12 (20m) | B1,B9 (60m)]</w:t>
              <w:br/>
              <w:t xml:space="preserve">                                      │</w:t>
              <w:br/>
              <w:t xml:space="preserve">               ┌──────────────────────┼──────────────────────┐</w:t>
              <w:br/>
              <w:t xml:space="preserve">               ▼                      ▼                      ▼</w:t>
              <w:br/>
              <w:t xml:space="preserve">        [10m Group Conv]       [20m Group Conv]       [60m Group Conv]</w:t>
              <w:br/>
              <w:t xml:space="preserve">        (4 bands -&gt; C)         (6 bands -&gt; C)         (2 bands -&gt; C)</w:t>
              <w:br/>
              <w:t xml:space="preserve">               │                      │                      │</w:t>
              <w:br/>
              <w:t xml:space="preserve">               │               Bilinear 2x            Bilinear 6x</w:t>
              <w:br/>
              <w:t xml:space="preserve">               │                      │                      │</w:t>
              <w:br/>
              <w:t xml:space="preserve">               └──────────────────────┴──────────────────────┘</w:t>
              <w:br/>
              <w:t xml:space="preserve">                                      │</w:t>
              <w:br/>
              <w:t xml:space="preserve">                          [Gated Bilinear Fusion]</w:t>
              <w:br/>
              <w:t xml:space="preserve">                                      │</w:t>
              <w:br/>
              <w:t xml:space="preserve">                         [Spectral Graph Attention] (3-Node Cross-GSD)</w:t>
              <w:br/>
              <w:t xml:space="preserve">                                      │</w:t>
              <w:br/>
              <w:t xml:space="preserve">                            [SpectralMamba 1D] (Continuous Wavelengths: 443-2190 nm)</w:t>
              <w:br/>
              <w:t xml:space="preserve">                                      │</w:t>
              <w:br/>
              <w:t xml:space="preserve">                         [2D Haar Wavelet Decomposition]</w:t>
              <w:br/>
              <w:t xml:space="preserve">                                      │</w:t>
              <w:br/>
              <w:t xml:space="preserve">                   ┌──────────────────┴──────────────────┐</w:t>
              <w:br/>
              <w:t xml:space="preserve">                   ▼                                     ▼</w:t>
              <w:br/>
              <w:t xml:space="preserve">        Low-Frequency (LL)                     High-Frequency (LH, HL, HH)</w:t>
              <w:br/>
              <w:t xml:space="preserve">        [2D SpatialMamba]                      [Directional StripConvs 1x7, 7x1]</w:t>
              <w:br/>
              <w:t xml:space="preserve">        (Global Context, O(N))                 [NAF Residual Blocks]</w:t>
              <w:br/>
              <w:t xml:space="preserve">                   └──────────────────┬──────────────────┘</w:t>
              <w:br/>
              <w:t xml:space="preserve">                                      │</w:t>
              <w:br/>
              <w:t xml:space="preserve">                          [Inverse Haar Wavelet (IDWT)]</w:t>
              <w:br/>
              <w:t xml:space="preserve">                                      │</w:t>
              <w:br/>
              <w:t xml:space="preserve">                       [Progressive PixelShuffle Upsampler]</w:t>
              <w:br/>
              <w:t xml:space="preserve">                                (2x -&gt; 2x = 4x)</w:t>
              <w:br/>
              <w:t xml:space="preserve">                                      │</w:t>
              <w:br/>
              <w:t xml:space="preserve">                   ┌──────────────────┴──────────────────┐</w:t>
              <w:br/>
              <w:t xml:space="preserve">                   ▼                                     ▼</w:t>
              <w:br/>
              <w:t xml:space="preserve">        [Mean Reconstruction Head μ]           [Uncertainty Head log σ²]</w:t>
              <w:br/>
              <w:t xml:space="preserve">        (12 Bands @ 2.5m GSD)                  (12 Bands Aleatoric Variance)</w:t>
              <w:br/>
              <w:t xml:space="preserve">                                      │</w:t>
              <w:br/>
              <w:t xml:space="preserve">                          [Physics-Informed Losses]</w:t>
              <w:br/>
              <w:t xml:space="preserve">        (Shifted-Window L1/Sobel + Sensor MTF/PSF + Heteroscedastic NLL + SAM)</w:t>
              <w:br/>
              <w:t>========================================================================================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B. Tri-Stream Native Feature Extraction and Gated Fusion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Sentinel-2 bands are grouped according to their native physical resolutions: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I₁₀ₘ = {2, 3, 4, 8},    I₂₀ₘ = {5, 6, 7, 8A, 11, 12},    I₆₀ₘ = {1, 9}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Each group is processed by a dedicated grouped convolutional encoder </w:t>
      </w:r>
      <w:r>
        <w:rPr>
          <w:rFonts w:ascii="Cambria Math" w:hAnsi="Cambria Math"/>
          <w:i/>
          <w:color w:val="212529"/>
          <w:sz w:val="21"/>
        </w:rPr>
        <w:t>E_g</w:t>
      </w:r>
      <w:r>
        <w:rPr>
          <w:rFonts w:ascii="Times New Roman" w:hAnsi="Times New Roman"/>
          <w:color w:val="212529"/>
          <w:sz w:val="21"/>
        </w:rPr>
        <w:t>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F₁₀ₘ = E₁₀ₘ(X₁₀ₘ),    F₂₀ₘ = E₂₀ₘ(X₂₀ₘ),    F₆₀ₘ = E₆₀ₘ(X₆₀ₘ)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To align spatial dimensions without destroying native radiometry, features </w:t>
      </w:r>
      <w:r>
        <w:rPr>
          <w:rFonts w:ascii="Cambria Math" w:hAnsi="Cambria Math"/>
          <w:i/>
          <w:color w:val="212529"/>
          <w:sz w:val="21"/>
        </w:rPr>
        <w:t>F₂₀ₘ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F₆₀ₘ</w:t>
      </w:r>
      <w:r>
        <w:rPr>
          <w:rFonts w:ascii="Times New Roman" w:hAnsi="Times New Roman"/>
          <w:color w:val="212529"/>
          <w:sz w:val="21"/>
        </w:rPr>
        <w:t xml:space="preserve"> are upsampled via bilinear interpolation to match the 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grid and merged through learned gating: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F_fused = F₁₀ₘ + W_gate ∗ ≤ft[ F₂₀ₘ^↑, F₆₀ₘ^↑ ]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C. Spectral Dependency Modeling: Spectral Graph &amp; SpectralMamba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To capture radiative correlations across the full spectrum without quadratic overhead, we deploy a two-stage spectral modeling pipeline: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Spectral Graph Attention:</w:t>
      </w:r>
      <w:r>
        <w:rPr>
          <w:rFonts w:ascii="Times New Roman" w:hAnsi="Times New Roman"/>
          <w:color w:val="212529"/>
          <w:sz w:val="21"/>
        </w:rPr>
        <w:t xml:space="preserve"> The three resolution streams are treated as nodes in a fully-connected graph. Dynamic attention weights model cross-resolution interactions: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A_i,j = Softmax≤ft((Q_i K_jᵀ) / (√(d)))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Continuous-Wavelength SpectralMamba:</w:t>
      </w:r>
      <w:r>
        <w:rPr>
          <w:rFonts w:ascii="Times New Roman" w:hAnsi="Times New Roman"/>
          <w:color w:val="212529"/>
          <w:sz w:val="21"/>
        </w:rPr>
        <w:t xml:space="preserve"> Each spectral channel is projected into a token conditioned on its central physical wavelength </w:t>
      </w:r>
      <w:r>
        <w:rPr>
          <w:rFonts w:ascii="Cambria Math" w:hAnsi="Cambria Math"/>
          <w:i/>
          <w:color w:val="212529"/>
          <w:sz w:val="21"/>
        </w:rPr>
        <w:t>λ_b ∈ [443, 2190] nm</w:t>
      </w:r>
      <w:r>
        <w:rPr>
          <w:rFonts w:ascii="Times New Roman" w:hAnsi="Times New Roman"/>
          <w:color w:val="212529"/>
          <w:sz w:val="21"/>
        </w:rPr>
        <w:t xml:space="preserve"> and native GSD. The sequence is processed via a 1D selective state-space scan: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h_b = \bar{A}_b h_b-1 + \bar{B}_b x_b,    y_b = C_b h_b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where </w:t>
      </w:r>
      <w:r>
        <w:rPr>
          <w:rFonts w:ascii="Cambria Math" w:hAnsi="Cambria Math"/>
          <w:i/>
          <w:color w:val="212529"/>
          <w:sz w:val="21"/>
        </w:rPr>
        <w:t>\bar{A}_b, \bar{B}_b</w:t>
      </w:r>
      <w:r>
        <w:rPr>
          <w:rFonts w:ascii="Times New Roman" w:hAnsi="Times New Roman"/>
          <w:color w:val="212529"/>
          <w:sz w:val="21"/>
        </w:rPr>
        <w:t xml:space="preserve"> are input-dependent discretized transition matrices. This yields a global spectral receptive field across all 12 channels with linear </w:t>
      </w:r>
      <w:r>
        <w:rPr>
          <w:rFonts w:ascii="Cambria Math" w:hAnsi="Cambria Math"/>
          <w:i/>
          <w:color w:val="212529"/>
          <w:sz w:val="21"/>
        </w:rPr>
        <w:t>O(C)</w:t>
      </w:r>
      <w:r>
        <w:rPr>
          <w:rFonts w:ascii="Times New Roman" w:hAnsi="Times New Roman"/>
          <w:color w:val="212529"/>
          <w:sz w:val="21"/>
        </w:rPr>
        <w:t xml:space="preserve"> complexity.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D. Frequency-Decoupled Spatial Processing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Spatial super-resolution requires separating smooth radiometric trends from sharp geographic boundaries: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2D Haar Discrete Wavelet Transform (`HaarDWT2D`):</w:t>
      </w:r>
      <w:r>
        <w:rPr>
          <w:rFonts w:ascii="Times New Roman" w:hAnsi="Times New Roman"/>
          <w:color w:val="212529"/>
          <w:sz w:val="21"/>
        </w:rPr>
        <w:t xml:space="preserve"> Decomposes spatial features into four orthogonal subbands: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{LL, LH, HL, HH} = HaarDWT2D(F_spec)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where </w:t>
      </w:r>
      <w:r>
        <w:rPr>
          <w:rFonts w:ascii="Cambria Math" w:hAnsi="Cambria Math"/>
          <w:i/>
          <w:color w:val="212529"/>
          <w:sz w:val="21"/>
        </w:rPr>
        <w:t>LL</w:t>
      </w:r>
      <w:r>
        <w:rPr>
          <w:rFonts w:ascii="Times New Roman" w:hAnsi="Times New Roman"/>
          <w:color w:val="212529"/>
          <w:sz w:val="21"/>
        </w:rPr>
        <w:t xml:space="preserve"> contains low-frequency structural energy, and </w:t>
      </w:r>
      <w:r>
        <w:rPr>
          <w:rFonts w:ascii="Cambria Math" w:hAnsi="Cambria Math"/>
          <w:i/>
          <w:color w:val="212529"/>
          <w:sz w:val="21"/>
        </w:rPr>
        <w:t>LH, HL, HH</w:t>
      </w:r>
      <w:r>
        <w:rPr>
          <w:rFonts w:ascii="Times New Roman" w:hAnsi="Times New Roman"/>
          <w:color w:val="212529"/>
          <w:sz w:val="21"/>
        </w:rPr>
        <w:t xml:space="preserve"> contain horizontal, vertical, and diagonal high-frequency gradients.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Low-Frequency Global Modeling (`SpatialMamba`):</w:t>
      </w:r>
      <w:r>
        <w:rPr>
          <w:rFonts w:ascii="Times New Roman" w:hAnsi="Times New Roman"/>
          <w:color w:val="212529"/>
          <w:sz w:val="21"/>
        </w:rPr>
        <w:t xml:space="preserve"> The </w:t>
      </w:r>
      <w:r>
        <w:rPr>
          <w:rFonts w:ascii="Cambria Math" w:hAnsi="Cambria Math"/>
          <w:i/>
          <w:color w:val="212529"/>
          <w:sz w:val="21"/>
        </w:rPr>
        <w:t>LL</w:t>
      </w:r>
      <w:r>
        <w:rPr>
          <w:rFonts w:ascii="Times New Roman" w:hAnsi="Times New Roman"/>
          <w:color w:val="212529"/>
          <w:sz w:val="21"/>
        </w:rPr>
        <w:t xml:space="preserve"> subband is routed to a 2D multi-direction selective scan block. By scanning across horizontal and vertical directions, </w:t>
      </w:r>
      <w:r>
        <w:rPr>
          <w:rFonts w:ascii="Consolas" w:hAnsi="Consolas"/>
          <w:color w:val="A0283C"/>
          <w:sz w:val="20"/>
        </w:rPr>
        <w:t>SpatialMamba</w:t>
      </w:r>
      <w:r>
        <w:rPr>
          <w:rFonts w:ascii="Times New Roman" w:hAnsi="Times New Roman"/>
          <w:color w:val="212529"/>
          <w:sz w:val="21"/>
        </w:rPr>
        <w:t xml:space="preserve"> establishes a global spatial receptive field with strictly linear computational complexity 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 xml:space="preserve">, avoiding the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 bottleneck of Transformers.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High-Frequency Directional Modeling (`StripConvStack` + `NAFBlock`):</w:t>
      </w:r>
      <w:r>
        <w:rPr>
          <w:rFonts w:ascii="Times New Roman" w:hAnsi="Times New Roman"/>
          <w:color w:val="212529"/>
          <w:sz w:val="21"/>
        </w:rPr>
        <w:t xml:space="preserve"> The high-frequency subbands </w:t>
      </w:r>
      <w:r>
        <w:rPr>
          <w:rFonts w:ascii="Cambria Math" w:hAnsi="Cambria Math"/>
          <w:i/>
          <w:color w:val="212529"/>
          <w:sz w:val="21"/>
        </w:rPr>
        <w:t>(LH, HL, HH)</w:t>
      </w:r>
      <w:r>
        <w:rPr>
          <w:rFonts w:ascii="Times New Roman" w:hAnsi="Times New Roman"/>
          <w:color w:val="212529"/>
          <w:sz w:val="21"/>
        </w:rPr>
        <w:t xml:space="preserve"> are processed by asymmetric strip convolutions (</w:t>
      </w:r>
      <w:r>
        <w:rPr>
          <w:rFonts w:ascii="Cambria Math" w:hAnsi="Cambria Math"/>
          <w:i/>
          <w:color w:val="212529"/>
          <w:sz w:val="21"/>
        </w:rPr>
        <w:t>1×7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7×1</w:t>
      </w:r>
      <w:r>
        <w:rPr>
          <w:rFonts w:ascii="Times New Roman" w:hAnsi="Times New Roman"/>
          <w:color w:val="212529"/>
          <w:sz w:val="21"/>
        </w:rPr>
        <w:t xml:space="preserve"> kernels) and Non-linear Activation Free (</w:t>
      </w:r>
      <w:r>
        <w:rPr>
          <w:rFonts w:ascii="Consolas" w:hAnsi="Consolas"/>
          <w:color w:val="A0283C"/>
          <w:sz w:val="20"/>
        </w:rPr>
        <w:t>NAF</w:t>
      </w:r>
      <w:r>
        <w:rPr>
          <w:rFonts w:ascii="Times New Roman" w:hAnsi="Times New Roman"/>
          <w:color w:val="212529"/>
          <w:sz w:val="21"/>
        </w:rPr>
        <w:t>) residual blocks, which trace linear infrastructure such as roads, field boundaries, and irrigation canals.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Wavelet Synthesis:</w:t>
      </w:r>
      <w:r>
        <w:rPr>
          <w:rFonts w:ascii="Times New Roman" w:hAnsi="Times New Roman"/>
          <w:color w:val="212529"/>
          <w:sz w:val="21"/>
        </w:rPr>
        <w:t xml:space="preserve"> The processed subbands are recombined via the Inverse Haar Discrete Wavelet Transform (</w:t>
      </w:r>
      <w:r>
        <w:rPr>
          <w:rFonts w:ascii="Consolas" w:hAnsi="Consolas"/>
          <w:color w:val="A0283C"/>
          <w:sz w:val="20"/>
        </w:rPr>
        <w:t>InverseHaarDWT2D</w:t>
      </w:r>
      <w:r>
        <w:rPr>
          <w:rFonts w:ascii="Times New Roman" w:hAnsi="Times New Roman"/>
          <w:color w:val="212529"/>
          <w:sz w:val="21"/>
        </w:rPr>
        <w:t>), losslessly reconstructing the spatial feature map.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E. Progressive Upsampling and Dual Uncertainty Heads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The synthesized features are upscaled to the target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resolution through two progressive </w:t>
      </w:r>
      <w:r>
        <w:rPr>
          <w:rFonts w:ascii="Cambria Math" w:hAnsi="Cambria Math"/>
          <w:i/>
          <w:color w:val="212529"/>
          <w:sz w:val="21"/>
        </w:rPr>
        <w:t>2×</w:t>
      </w:r>
      <w:r>
        <w:rPr>
          <w:rFonts w:ascii="Times New Roman" w:hAnsi="Times New Roman"/>
          <w:color w:val="212529"/>
          <w:sz w:val="21"/>
        </w:rPr>
        <w:t xml:space="preserve"> PixelShuffle stages. The network terminates in dual output heads: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Mean Head (μ):</w:t>
      </w:r>
      <w:r>
        <w:rPr>
          <w:rFonts w:ascii="Times New Roman" w:hAnsi="Times New Roman"/>
          <w:color w:val="212529"/>
          <w:sz w:val="21"/>
        </w:rPr>
        <w:t xml:space="preserve"> Reconstructs the 12-band super-resolved surface reflectance: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μ = W_μ ∗ F_up + X_{bilinear}^↑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where a global bilinear skip connection preserves base low-frequency radiometry.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Uncertainty Head (log σ²):</w:t>
      </w:r>
      <w:r>
        <w:rPr>
          <w:rFonts w:ascii="Times New Roman" w:hAnsi="Times New Roman"/>
          <w:color w:val="212529"/>
          <w:sz w:val="21"/>
        </w:rPr>
        <w:t xml:space="preserve"> Predicts the per-pixel aleatoric log-variance </w:t>
      </w:r>
      <w:r>
        <w:rPr>
          <w:rFonts w:ascii="Cambria Math" w:hAnsi="Cambria Math"/>
          <w:i/>
          <w:color w:val="212529"/>
          <w:sz w:val="21"/>
        </w:rPr>
        <w:t>s_b(u, v) = log σ_b²(u, v)</w:t>
      </w:r>
      <w:r>
        <w:rPr>
          <w:rFonts w:ascii="Times New Roman" w:hAnsi="Times New Roman"/>
          <w:color w:val="212529"/>
          <w:sz w:val="21"/>
        </w:rPr>
        <w:t xml:space="preserve">, clamped to </w:t>
      </w:r>
      <w:r>
        <w:rPr>
          <w:rFonts w:ascii="Cambria Math" w:hAnsi="Cambria Math"/>
          <w:i/>
          <w:color w:val="212529"/>
          <w:sz w:val="21"/>
        </w:rPr>
        <w:t>[-10, 5]</w:t>
      </w:r>
      <w:r>
        <w:rPr>
          <w:rFonts w:ascii="Times New Roman" w:hAnsi="Times New Roman"/>
          <w:color w:val="212529"/>
          <w:sz w:val="21"/>
        </w:rPr>
        <w:t xml:space="preserve"> for numerical stability.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F. Physics-Informed Multi-Objective Training Loss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The model is trained end-to-end under a composite loss function enforcing structural fidelity, sensor optics consistency, and uncertainty calibration: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Heteroscedastic Gaussian Negative Log-Likelihood Loss: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\mathcal{L}_hetero = (1) / (2 B Ω) ∑_{b=1}^{B} ∑_{i ∈ Ω} ≤ft( exp(-s_b,i) | y_b,i - μ_b,i | + s_b,i 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In regions of high ambiguity (such as complex parcel boundaries), the model predicts a higher variance </w:t>
      </w:r>
      <w:r>
        <w:rPr>
          <w:rFonts w:ascii="Cambria Math" w:hAnsi="Cambria Math"/>
          <w:i/>
          <w:color w:val="212529"/>
          <w:sz w:val="21"/>
        </w:rPr>
        <w:t>s_b,i</w:t>
      </w:r>
      <w:r>
        <w:rPr>
          <w:rFonts w:ascii="Times New Roman" w:hAnsi="Times New Roman"/>
          <w:color w:val="212529"/>
          <w:sz w:val="21"/>
        </w:rPr>
        <w:t xml:space="preserve">, dynamically downweighting the gradient penalty while preventing divergence via the regularization term </w:t>
      </w:r>
      <w:r>
        <w:rPr>
          <w:rFonts w:ascii="Cambria Math" w:hAnsi="Cambria Math"/>
          <w:i/>
          <w:color w:val="212529"/>
          <w:sz w:val="21"/>
        </w:rPr>
        <w:t>s_b,i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Sensor MTF / Optical Degradation Loss: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To guarantee physical consistency, the super-resolved prediction is degraded through the sensor's optical Point Spread Function (PSF, modeled as a 2D Gaussian kernel </w:t>
      </w:r>
      <w:r>
        <w:rPr>
          <w:rFonts w:ascii="Cambria Math" w:hAnsi="Cambria Math"/>
          <w:i/>
          <w:color w:val="212529"/>
          <w:sz w:val="21"/>
        </w:rPr>
        <w:t>k_{PSF}</w:t>
      </w:r>
      <w:r>
        <w:rPr>
          <w:rFonts w:ascii="Times New Roman" w:hAnsi="Times New Roman"/>
          <w:color w:val="212529"/>
          <w:sz w:val="21"/>
        </w:rPr>
        <w:t xml:space="preserve"> with </w:t>
      </w:r>
      <w:r>
        <w:rPr>
          <w:rFonts w:ascii="Cambria Math" w:hAnsi="Cambria Math"/>
          <w:i/>
          <w:color w:val="212529"/>
          <w:sz w:val="21"/>
        </w:rPr>
        <w:t>σ=1.2</w:t>
      </w:r>
      <w:r>
        <w:rPr>
          <w:rFonts w:ascii="Times New Roman" w:hAnsi="Times New Roman"/>
          <w:color w:val="212529"/>
          <w:sz w:val="21"/>
        </w:rPr>
        <w:t>) and downsampled back to native resolution: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\mathcal{L}_MTF = (1) / (B) ∑_{b=1}^{B} ≤ft‖ D_4(k_{PSF} ∗ μ_b) - x_{b,LR} \right‖_1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Shifted-Window Edge and Gradient Loss: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To accommodate sub-pixel camera co-registration jitter (</w:t>
      </w:r>
      <w:r>
        <w:rPr>
          <w:rFonts w:ascii="Cambria Math" w:hAnsi="Cambria Math"/>
          <w:i/>
          <w:color w:val="212529"/>
          <w:sz w:val="21"/>
        </w:rPr>
        <w:t>± 1 pixel</w:t>
      </w:r>
      <w:r>
        <w:rPr>
          <w:rFonts w:ascii="Times New Roman" w:hAnsi="Times New Roman"/>
          <w:color w:val="212529"/>
          <w:sz w:val="21"/>
        </w:rPr>
        <w:t>), we compute a minimum-residual loss over localized spatial offsets, combined with Sobel gradient matching (</w:t>
      </w:r>
      <w:r>
        <w:rPr>
          <w:rFonts w:ascii="Cambria Math" w:hAnsi="Cambria Math"/>
          <w:i/>
          <w:color w:val="212529"/>
          <w:sz w:val="21"/>
        </w:rPr>
        <w:t>∇_x, ∇_y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Spectral Angle Mapper (SAM) Loss: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Enforces angular vector consistency to prevent color and spectral distortion: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\mathcal{L}_SAM = (1) / (Ω) ∑_{i ∈ Ω} arccos≤ft( (μ_iᵀ y_i) / (‖ μ_i ‖_2   ‖ y_i ‖_2 + ε) )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5. </w:t>
      </w:r>
      <w:r>
        <w:rPr>
          <w:rFonts w:ascii="Times New Roman" w:hAnsi="Times New Roman"/>
          <w:b/>
          <w:color w:val="212529"/>
          <w:sz w:val="21"/>
        </w:rPr>
        <w:t>Total Multi-Objective Loss: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\mathcal{L}_{total} = \mathcal{L}_hetero + λ_MTF \mathcal{L}_MTF + λ_SW \mathcal{L}_SW + λ_SAM \mathcal{L}_SAM</w:t>
      </w: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IV. Experimental Setup, Evaluation Protocols &amp; Results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A. Datasets &amp; Benchmark Geographic Regions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We validate TriSpecWaveMambaUQ on two complementary datasets spanning diverse agro-urban and high-altitude geographic regions: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Pune Metropolitan Region AOI (Maharashtra, India):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Geographic Footprint:</w:t>
      </w:r>
      <w:r>
        <w:rPr>
          <w:rFonts w:ascii="Times New Roman" w:hAnsi="Times New Roman"/>
          <w:color w:val="212529"/>
          <w:sz w:val="21"/>
        </w:rPr>
        <w:t xml:space="preserve"> Centered at </w:t>
      </w:r>
      <w:r>
        <w:rPr>
          <w:rFonts w:ascii="Cambria Math" w:hAnsi="Cambria Math"/>
          <w:i/>
          <w:color w:val="212529"/>
          <w:sz w:val="21"/>
        </w:rPr>
        <w:t>18.4388° N, 73.7728° E</w:t>
      </w:r>
      <w:r>
        <w:rPr>
          <w:rFonts w:ascii="Times New Roman" w:hAnsi="Times New Roman"/>
          <w:color w:val="212529"/>
          <w:sz w:val="21"/>
        </w:rPr>
        <w:t xml:space="preserve"> across a </w:t>
      </w:r>
      <w:r>
        <w:rPr>
          <w:rFonts w:ascii="Cambria Math" w:hAnsi="Cambria Math"/>
          <w:i/>
          <w:color w:val="212529"/>
          <w:sz w:val="21"/>
        </w:rPr>
        <w:t>10 km</w:t>
      </w:r>
      <w:r>
        <w:rPr>
          <w:rFonts w:ascii="Times New Roman" w:hAnsi="Times New Roman"/>
          <w:color w:val="212529"/>
          <w:sz w:val="21"/>
        </w:rPr>
        <w:t xml:space="preserve"> operational radius, capturing complex heterogeneous Indian land cover: dense commercial/residential urban settlements, fragmented smallholder agricultural plots, the Khadakwasla reservoir, the Mutha River corridor, and industrial infrastructure.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Data Characteristics:</w:t>
      </w:r>
      <w:r>
        <w:rPr>
          <w:rFonts w:ascii="Times New Roman" w:hAnsi="Times New Roman"/>
          <w:color w:val="212529"/>
          <w:sz w:val="21"/>
        </w:rPr>
        <w:t xml:space="preserve"> Cloud-free Sentinel-2 Level-2A Bottom-Of-Atmosphere (BOA) surface reflectance tiles acquired across multi-temporal seasons (2023–2026). Cloud contamination was constrained to </w:t>
      </w:r>
      <w:r>
        <w:rPr>
          <w:rFonts w:ascii="Cambria Math" w:hAnsi="Cambria Math"/>
          <w:i/>
          <w:color w:val="212529"/>
          <w:sz w:val="21"/>
        </w:rPr>
        <w:t>≤ 2\%</w:t>
      </w:r>
      <w:r>
        <w:rPr>
          <w:rFonts w:ascii="Times New Roman" w:hAnsi="Times New Roman"/>
          <w:color w:val="212529"/>
          <w:sz w:val="21"/>
        </w:rPr>
        <w:t xml:space="preserve"> using the Scene Classification Layer (SCL).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Partitioning:</w:t>
      </w:r>
      <w:r>
        <w:rPr>
          <w:rFonts w:ascii="Times New Roman" w:hAnsi="Times New Roman"/>
          <w:color w:val="212529"/>
          <w:sz w:val="21"/>
        </w:rPr>
        <w:t xml:space="preserve"> Sliced into </w:t>
      </w:r>
      <w:r>
        <w:rPr>
          <w:rFonts w:ascii="Cambria Math" w:hAnsi="Cambria Math"/>
          <w:i/>
          <w:color w:val="212529"/>
          <w:sz w:val="21"/>
        </w:rPr>
        <w:t>64 × 64</w:t>
      </w:r>
      <w:r>
        <w:rPr>
          <w:rFonts w:ascii="Times New Roman" w:hAnsi="Times New Roman"/>
          <w:color w:val="212529"/>
          <w:sz w:val="21"/>
        </w:rPr>
        <w:t xml:space="preserve"> LR patches (</w:t>
      </w:r>
      <w:r>
        <w:rPr>
          <w:rFonts w:ascii="Cambria Math" w:hAnsi="Cambria Math"/>
          <w:i/>
          <w:color w:val="212529"/>
          <w:sz w:val="21"/>
        </w:rPr>
        <w:t>10 m</w:t>
      </w:r>
      <w:r>
        <w:rPr>
          <w:rFonts w:ascii="Times New Roman" w:hAnsi="Times New Roman"/>
          <w:color w:val="212529"/>
          <w:sz w:val="21"/>
        </w:rPr>
        <w:t xml:space="preserve"> GSD) mapping to </w:t>
      </w:r>
      <w:r>
        <w:rPr>
          <w:rFonts w:ascii="Cambria Math" w:hAnsi="Cambria Math"/>
          <w:i/>
          <w:color w:val="212529"/>
          <w:sz w:val="21"/>
        </w:rPr>
        <w:t>256 × 256</w:t>
      </w:r>
      <w:r>
        <w:rPr>
          <w:rFonts w:ascii="Times New Roman" w:hAnsi="Times New Roman"/>
          <w:color w:val="212529"/>
          <w:sz w:val="21"/>
        </w:rPr>
        <w:t xml:space="preserve"> HR target patches (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GSD). Divided strictly chronologically into: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Training Set:</w:t>
      </w:r>
      <w:r>
        <w:rPr>
          <w:rFonts w:ascii="Times New Roman" w:hAnsi="Times New Roman"/>
          <w:color w:val="212529"/>
          <w:sz w:val="21"/>
        </w:rPr>
        <w:t xml:space="preserve"> 1,400 paired patches.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Validation Set:</w:t>
      </w:r>
      <w:r>
        <w:rPr>
          <w:rFonts w:ascii="Times New Roman" w:hAnsi="Times New Roman"/>
          <w:color w:val="212529"/>
          <w:sz w:val="21"/>
        </w:rPr>
        <w:t xml:space="preserve"> 100 paired patches.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Held-Out Unseen Test Suite:</w:t>
      </w:r>
      <w:r>
        <w:rPr>
          <w:rFonts w:ascii="Times New Roman" w:hAnsi="Times New Roman"/>
          <w:color w:val="212529"/>
          <w:sz w:val="21"/>
        </w:rPr>
        <w:t xml:space="preserve"> 50 patches from an independent satellite acquisition pass over unseen geographic coordinates.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ESA OpenSR SEN2NEON Reference Benchmark: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Cross-Sensor Airborne Reference:</w:t>
      </w:r>
      <w:r>
        <w:rPr>
          <w:rFonts w:ascii="Times New Roman" w:hAnsi="Times New Roman"/>
          <w:color w:val="212529"/>
          <w:sz w:val="21"/>
        </w:rPr>
        <w:t xml:space="preserve"> To establish rigorous ground-truth evaluation, we utilize the international ESA OpenSR SEN2NEON benchmark dataset. SEN2NEON pairs observed Sentinel-2 L2A BOA reflectances with co-registered </w:t>
      </w:r>
      <w:r>
        <w:rPr>
          <w:rFonts w:ascii="Cambria Math" w:hAnsi="Cambria Math"/>
          <w:i/>
          <w:color w:val="212529"/>
          <w:sz w:val="21"/>
        </w:rPr>
        <w:t>1 m</w:t>
      </w:r>
      <w:r>
        <w:rPr>
          <w:rFonts w:ascii="Times New Roman" w:hAnsi="Times New Roman"/>
          <w:color w:val="212529"/>
          <w:sz w:val="21"/>
        </w:rPr>
        <w:t xml:space="preserve"> AVIRIS-NG airborne hyperspectral data harmonized to Sentinel-2 Spectral Response Functions (SRFs) on a standardized </w:t>
      </w:r>
      <w:r>
        <w:rPr>
          <w:rFonts w:ascii="Cambria Math" w:hAnsi="Cambria Math"/>
          <w:i/>
          <w:color w:val="212529"/>
          <w:sz w:val="21"/>
        </w:rPr>
        <w:t>2.5 m</w:t>
      </w:r>
      <w:r>
        <w:rPr>
          <w:rFonts w:ascii="Times New Roman" w:hAnsi="Times New Roman"/>
          <w:color w:val="212529"/>
          <w:sz w:val="21"/>
        </w:rPr>
        <w:t xml:space="preserve"> HR grid.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Scale:</w:t>
      </w:r>
      <w:r>
        <w:rPr>
          <w:rFonts w:ascii="Times New Roman" w:hAnsi="Times New Roman"/>
          <w:color w:val="212529"/>
          <w:sz w:val="21"/>
        </w:rPr>
        <w:t xml:space="preserve"> 32,672 training patches and 3,632 strictly held-out validation patches.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B. Implementation, Hardware &amp; Training Pipeline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Hardware Infrastructure: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color w:val="212529"/>
          <w:sz w:val="21"/>
        </w:rPr>
        <w:t>Training was executed using an NVIDIA A10G Tensor Core GPU (</w:t>
      </w:r>
      <w:r>
        <w:rPr>
          <w:rFonts w:ascii="Cambria Math" w:hAnsi="Cambria Math"/>
          <w:i/>
          <w:color w:val="212529"/>
          <w:sz w:val="21"/>
        </w:rPr>
        <w:t>24 GB</w:t>
      </w:r>
      <w:r>
        <w:rPr>
          <w:rFonts w:ascii="Times New Roman" w:hAnsi="Times New Roman"/>
          <w:color w:val="212529"/>
          <w:sz w:val="21"/>
        </w:rPr>
        <w:t xml:space="preserve"> VRAM) with distributed scale verification on an NVIDIA B200 accelerator.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In-Memory Caching:</w:t>
      </w:r>
      <w:r>
        <w:rPr>
          <w:rFonts w:ascii="Times New Roman" w:hAnsi="Times New Roman"/>
          <w:color w:val="212529"/>
          <w:sz w:val="21"/>
        </w:rPr>
        <w:t xml:space="preserve"> To eliminate FUSE remote cloud storage I/O bottlenecks, high-throughput training utilized pinned-host RAM dataset caching (</w:t>
      </w:r>
      <w:r>
        <w:rPr>
          <w:rFonts w:ascii="Consolas" w:hAnsi="Consolas"/>
          <w:color w:val="A0283C"/>
          <w:sz w:val="20"/>
        </w:rPr>
        <w:t>TeacherCacheDataset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onsolas" w:hAnsi="Consolas"/>
          <w:color w:val="A0283C"/>
          <w:sz w:val="20"/>
        </w:rPr>
        <w:t>sen2neon_ram_dataset</w:t>
      </w:r>
      <w:r>
        <w:rPr>
          <w:rFonts w:ascii="Times New Roman" w:hAnsi="Times New Roman"/>
          <w:color w:val="212529"/>
          <w:sz w:val="21"/>
        </w:rPr>
        <w:t xml:space="preserve">), boosting data ingestion throughput by </w:t>
      </w:r>
      <w:r>
        <w:rPr>
          <w:rFonts w:ascii="Cambria Math" w:hAnsi="Cambria Math"/>
          <w:i/>
          <w:color w:val="212529"/>
          <w:sz w:val="21"/>
        </w:rPr>
        <w:t>10.6×</w:t>
      </w:r>
      <w:r>
        <w:rPr>
          <w:rFonts w:ascii="Times New Roman" w:hAnsi="Times New Roman"/>
          <w:color w:val="212529"/>
          <w:sz w:val="21"/>
        </w:rPr>
        <w:t xml:space="preserve"> (from </w:t>
      </w:r>
      <w:r>
        <w:rPr>
          <w:rFonts w:ascii="Cambria Math" w:hAnsi="Cambria Math"/>
          <w:i/>
          <w:color w:val="212529"/>
          <w:sz w:val="21"/>
        </w:rPr>
        <w:t>0.3 steps/s</w:t>
      </w:r>
      <w:r>
        <w:rPr>
          <w:rFonts w:ascii="Times New Roman" w:hAnsi="Times New Roman"/>
          <w:color w:val="212529"/>
          <w:sz w:val="21"/>
        </w:rPr>
        <w:t xml:space="preserve"> to </w:t>
      </w:r>
      <w:r>
        <w:rPr>
          <w:rFonts w:ascii="Cambria Math" w:hAnsi="Cambria Math"/>
          <w:i/>
          <w:color w:val="212529"/>
          <w:sz w:val="21"/>
        </w:rPr>
        <w:t>3.2 steps/s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Training Optimization &amp; Hyperparameters: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Optimizer:</w:t>
      </w:r>
      <w:r>
        <w:rPr>
          <w:rFonts w:ascii="Times New Roman" w:hAnsi="Times New Roman"/>
          <w:color w:val="212529"/>
          <w:sz w:val="21"/>
        </w:rPr>
        <w:t xml:space="preserve"> AdamW with </w:t>
      </w:r>
      <w:r>
        <w:rPr>
          <w:rFonts w:ascii="Cambria Math" w:hAnsi="Cambria Math"/>
          <w:i/>
          <w:color w:val="212529"/>
          <w:sz w:val="21"/>
        </w:rPr>
        <w:t>β_1 = 0.9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Cambria Math" w:hAnsi="Cambria Math"/>
          <w:i/>
          <w:color w:val="212529"/>
          <w:sz w:val="21"/>
        </w:rPr>
        <w:t>β_2 = 0.999</w:t>
      </w:r>
      <w:r>
        <w:rPr>
          <w:rFonts w:ascii="Times New Roman" w:hAnsi="Times New Roman"/>
          <w:color w:val="212529"/>
          <w:sz w:val="21"/>
        </w:rPr>
        <w:t xml:space="preserve">, and weight decay </w:t>
      </w:r>
      <w:r>
        <w:rPr>
          <w:rFonts w:ascii="Cambria Math" w:hAnsi="Cambria Math"/>
          <w:i/>
          <w:color w:val="212529"/>
          <w:sz w:val="21"/>
        </w:rPr>
        <w:t>10⁻⁴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Learning Rate Schedule:</w:t>
      </w:r>
      <w:r>
        <w:rPr>
          <w:rFonts w:ascii="Times New Roman" w:hAnsi="Times New Roman"/>
          <w:color w:val="212529"/>
          <w:sz w:val="21"/>
        </w:rPr>
        <w:t xml:space="preserve"> Initial learning rate </w:t>
      </w:r>
      <w:r>
        <w:rPr>
          <w:rFonts w:ascii="Cambria Math" w:hAnsi="Cambria Math"/>
          <w:i/>
          <w:color w:val="212529"/>
          <w:sz w:val="21"/>
        </w:rPr>
        <w:t>η_0 = 2 × 10⁻⁴</w:t>
      </w:r>
      <w:r>
        <w:rPr>
          <w:rFonts w:ascii="Times New Roman" w:hAnsi="Times New Roman"/>
          <w:color w:val="212529"/>
          <w:sz w:val="21"/>
        </w:rPr>
        <w:t xml:space="preserve">, scheduled via Cosine Annealing with warm restarts down to </w:t>
      </w:r>
      <w:r>
        <w:rPr>
          <w:rFonts w:ascii="Cambria Math" w:hAnsi="Cambria Math"/>
          <w:i/>
          <w:color w:val="212529"/>
          <w:sz w:val="21"/>
        </w:rPr>
        <w:t>η_{min} = 10⁻⁶</w:t>
      </w:r>
      <w:r>
        <w:rPr>
          <w:rFonts w:ascii="Times New Roman" w:hAnsi="Times New Roman"/>
          <w:color w:val="212529"/>
          <w:sz w:val="21"/>
        </w:rPr>
        <w:t xml:space="preserve"> over 50 epochs.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Precision:</w:t>
      </w:r>
      <w:r>
        <w:rPr>
          <w:rFonts w:ascii="Times New Roman" w:hAnsi="Times New Roman"/>
          <w:color w:val="212529"/>
          <w:sz w:val="21"/>
        </w:rPr>
        <w:t xml:space="preserve"> Mixed precision training via PyTorch Automatic Mixed Precision (</w:t>
      </w:r>
      <w:r>
        <w:rPr>
          <w:rFonts w:ascii="Consolas" w:hAnsi="Consolas"/>
          <w:color w:val="A0283C"/>
          <w:sz w:val="20"/>
        </w:rPr>
        <w:t>torch.amp.autocast(dtype=torch.bfloat16)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Batch Size:</w:t>
      </w:r>
      <w:r>
        <w:rPr>
          <w:rFonts w:ascii="Times New Roman" w:hAnsi="Times New Roman"/>
          <w:color w:val="212529"/>
          <w:sz w:val="21"/>
        </w:rPr>
        <w:t xml:space="preserve"> Effective batch size of 16 patches (</w:t>
      </w:r>
      <w:r>
        <w:rPr>
          <w:rFonts w:ascii="Cambria Math" w:hAnsi="Cambria Math"/>
          <w:i/>
          <w:color w:val="212529"/>
          <w:sz w:val="21"/>
        </w:rPr>
        <w:t>64 × 64 → 256 × 256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Loss Weights:</w:t>
      </w:r>
      <w:r>
        <w:rPr>
          <w:rFonts w:ascii="Times New Roman" w:hAnsi="Times New Roman"/>
          <w:color w:val="212529"/>
          <w:sz w:val="21"/>
        </w:rPr>
        <w:t xml:space="preserve"> Set empirically to </w:t>
      </w:r>
      <w:r>
        <w:rPr>
          <w:rFonts w:ascii="Cambria Math" w:hAnsi="Cambria Math"/>
          <w:i/>
          <w:color w:val="212529"/>
          <w:sz w:val="21"/>
        </w:rPr>
        <w:t>λ_MTF = 0.1</w:t>
      </w:r>
      <w:r>
        <w:rPr>
          <w:rFonts w:ascii="Times New Roman" w:hAnsi="Times New Roman"/>
          <w:color w:val="212529"/>
          <w:sz w:val="21"/>
        </w:rPr>
        <w:t xml:space="preserve">, </w:t>
      </w:r>
      <w:r>
        <w:rPr>
          <w:rFonts w:ascii="Cambria Math" w:hAnsi="Cambria Math"/>
          <w:i/>
          <w:color w:val="212529"/>
          <w:sz w:val="21"/>
        </w:rPr>
        <w:t>λ_SW = 1.0</w:t>
      </w:r>
      <w:r>
        <w:rPr>
          <w:rFonts w:ascii="Times New Roman" w:hAnsi="Times New Roman"/>
          <w:color w:val="212529"/>
          <w:sz w:val="21"/>
        </w:rPr>
        <w:t xml:space="preserve">, and </w:t>
      </w:r>
      <w:r>
        <w:rPr>
          <w:rFonts w:ascii="Cambria Math" w:hAnsi="Cambria Math"/>
          <w:i/>
          <w:color w:val="212529"/>
          <w:sz w:val="21"/>
        </w:rPr>
        <w:t>λ_SAM = 0.05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Student-Teacher Distillation Protocol: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color w:val="212529"/>
          <w:sz w:val="21"/>
        </w:rPr>
        <w:t xml:space="preserve">The student backbone was pre-trained and distilled from the ESA </w:t>
      </w:r>
      <w:r>
        <w:rPr>
          <w:rFonts w:ascii="Consolas" w:hAnsi="Consolas"/>
          <w:color w:val="A0283C"/>
          <w:sz w:val="20"/>
        </w:rPr>
        <w:t>OpenSR-SRGAN</w:t>
      </w:r>
      <w:r>
        <w:rPr>
          <w:rFonts w:ascii="Times New Roman" w:hAnsi="Times New Roman"/>
          <w:color w:val="212529"/>
          <w:sz w:val="21"/>
        </w:rPr>
        <w:t xml:space="preserve"> teacher model on the 4 RGB-NIR bands using shifted-window Charbonnier and directional Sobel gradient loss, while all 12 bands were jointly optimized under the sensor MTF degradation and heteroscedastic NLL objectives.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Inference &amp; Deployment: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color w:val="212529"/>
          <w:sz w:val="21"/>
        </w:rPr>
        <w:t>Exported to ONNX runtime and TensorRT engine formats. Inference benchmarks were conducted on both cloud GPUs (Modal serverless deployment) and standard multi-core edge CPUs.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C. Quantitative Evaluation Metrics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Model performance is evaluated across spatial fidelity, spectral preservation, biophysical index accuracy, and computational efficiency: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Peak Signal-to-Noise Ratio (PSNR):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PSNR(y, \hat{y}) = 10 · log₁₀≤ft( (MAX_I²) / (MSE(y, \hat{y))} 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where </w:t>
      </w:r>
      <w:r>
        <w:rPr>
          <w:rFonts w:ascii="Cambria Math" w:hAnsi="Cambria Math"/>
          <w:i/>
          <w:color w:val="212529"/>
          <w:sz w:val="21"/>
        </w:rPr>
        <w:t>MAX_I = 1.0</w:t>
      </w:r>
      <w:r>
        <w:rPr>
          <w:rFonts w:ascii="Times New Roman" w:hAnsi="Times New Roman"/>
          <w:color w:val="212529"/>
          <w:sz w:val="21"/>
        </w:rPr>
        <w:t xml:space="preserve"> for normalized BOA surface reflectance </w:t>
      </w:r>
      <w:r>
        <w:rPr>
          <w:rFonts w:ascii="Cambria Math" w:hAnsi="Cambria Math"/>
          <w:i/>
          <w:color w:val="212529"/>
          <w:sz w:val="21"/>
        </w:rPr>
        <w:t>ρ ∈ [0, 1]</w:t>
      </w:r>
      <w:r>
        <w:rPr>
          <w:rFonts w:ascii="Times New Roman" w:hAnsi="Times New Roman"/>
          <w:color w:val="212529"/>
          <w:sz w:val="21"/>
        </w:rPr>
        <w:t>. Higher is better.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Structural Similarity Index Measure (SSIM):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SSIM(y, \hat{y}) = \frac{(2μ_{y}μ_{\hat{y}} + c_1)(2σ_{y\hat{y}} + c_2)}{(μ_{y}² + μ_{\hat{y}}² + c_1)(σ_{y}² + σ_{\hat{y}}² + c_2)}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where </w:t>
      </w:r>
      <w:r>
        <w:rPr>
          <w:rFonts w:ascii="Cambria Math" w:hAnsi="Cambria Math"/>
          <w:i/>
          <w:color w:val="212529"/>
          <w:sz w:val="21"/>
        </w:rPr>
        <w:t>c_1 = (0.01 · MAX_I)²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Cambria Math" w:hAnsi="Cambria Math"/>
          <w:i/>
          <w:color w:val="212529"/>
          <w:sz w:val="21"/>
        </w:rPr>
        <w:t>c_2 = (0.03 · MAX_I)²</w:t>
      </w:r>
      <w:r>
        <w:rPr>
          <w:rFonts w:ascii="Times New Roman" w:hAnsi="Times New Roman"/>
          <w:color w:val="212529"/>
          <w:sz w:val="21"/>
        </w:rPr>
        <w:t>. Higher is better.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Spectral Angle Mapper (SAM):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Measures the average angular distance between true and predicted spectral radiance vectors across all pixels </w:t>
      </w:r>
      <w:r>
        <w:rPr>
          <w:rFonts w:ascii="Cambria Math" w:hAnsi="Cambria Math"/>
          <w:i/>
          <w:color w:val="212529"/>
          <w:sz w:val="21"/>
        </w:rPr>
        <w:t>Ω</w:t>
      </w:r>
      <w:r>
        <w:rPr>
          <w:rFonts w:ascii="Times New Roman" w:hAnsi="Times New Roman"/>
          <w:color w:val="212529"/>
          <w:sz w:val="21"/>
        </w:rPr>
        <w:t>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SAM(y, \hat{y}) = (1) / (Ω) ∑_{i ∈ Ω} arccos≤ft( \frac{y_iᵀ \hat{y}_i}{‖ y_i ‖_2   ‖ \hat{y}_i ‖_2 + ε} )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Reported in radians (</w:t>
      </w:r>
      <w:r>
        <w:rPr>
          <w:rFonts w:ascii="Cambria Math" w:hAnsi="Cambria Math"/>
          <w:i/>
          <w:color w:val="212529"/>
          <w:sz w:val="21"/>
        </w:rPr>
        <w:t>rad</w:t>
      </w:r>
      <w:r>
        <w:rPr>
          <w:rFonts w:ascii="Times New Roman" w:hAnsi="Times New Roman"/>
          <w:color w:val="212529"/>
          <w:sz w:val="21"/>
        </w:rPr>
        <w:t>) and degrees (</w:t>
      </w:r>
      <w:r>
        <w:rPr>
          <w:rFonts w:ascii="Cambria Math" w:hAnsi="Cambria Math"/>
          <w:i/>
          <w:color w:val="212529"/>
          <w:sz w:val="21"/>
        </w:rPr>
        <w:t>°</w:t>
      </w:r>
      <w:r>
        <w:rPr>
          <w:rFonts w:ascii="Times New Roman" w:hAnsi="Times New Roman"/>
          <w:color w:val="212529"/>
          <w:sz w:val="21"/>
        </w:rPr>
        <w:t>). Lower indicates superior color and spectral conservation.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Biophysical Vegetation &amp; Moisture Index Errors: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>To evaluate real-world utility for precision agriculture and environmental monitoring, we measure the Mean Absolute Error across standard remote sensing indices: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Normalized Difference Vegetation Index (NDVI):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NDVI = \frac{ρ_{B8} - ρ_{B4}}{ρ_{B8} + ρ_{B4}},    MAE_NDVI = (1) / (Ω)∑_{i ∈ Ω} | NDVI(y_i) - NDVI(\hat{y}_i) |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Normalized Difference Red Edge Index (NDRE):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NDRE = \frac{ρ_{B8} - ρ_{B5}}{ρ_{B8} + ρ_{B5}},    MAE_NDRE = (1) / (Ω)∑_{i ∈ Ω} | NDRE(y_i) - NDRE(\hat{y}_i) |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Normalized Difference Water Index (NDWI):</w:t>
      </w:r>
    </w:p>
    <w:p>
      <w:pPr>
        <w:spacing w:before="160" w:after="160"/>
        <w:jc w:val="center"/>
      </w:pPr>
      <w:r>
        <w:rPr>
          <w:rFonts w:ascii="Cambria Math" w:hAnsi="Cambria Math"/>
          <w:i/>
          <w:color w:val="0F172A"/>
          <w:sz w:val="22"/>
        </w:rPr>
        <w:t>NDWI = \frac{ρ_{B3} - ρ_{B8}}{ρ_{B3} + ρ_{B8}},    MAE_NDWI = (1) / (Ω)∑_{i ∈ Ω} | NDWI(y_i) - NDWI(\hat{y}_i) |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5. </w:t>
      </w:r>
      <w:r>
        <w:rPr>
          <w:rFonts w:ascii="Times New Roman" w:hAnsi="Times New Roman"/>
          <w:b/>
          <w:color w:val="212529"/>
          <w:sz w:val="21"/>
        </w:rPr>
        <w:t>Uncertainty Calibration &amp; Error-Variance Correlation: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Quantified via the Spearman rank correlation </w:t>
      </w:r>
      <w:r>
        <w:rPr>
          <w:rFonts w:ascii="Cambria Math" w:hAnsi="Cambria Math"/>
          <w:i/>
          <w:color w:val="212529"/>
          <w:sz w:val="21"/>
        </w:rPr>
        <w:t>ρ(σ², | y - μ |)</w:t>
      </w:r>
      <w:r>
        <w:rPr>
          <w:rFonts w:ascii="Times New Roman" w:hAnsi="Times New Roman"/>
          <w:color w:val="212529"/>
          <w:sz w:val="21"/>
        </w:rPr>
        <w:t xml:space="preserve"> between predicted aleatoric variance and actual reconstruction absolute error, verifying that high uncertainty reliably corresponds to high residual errors.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6. </w:t>
      </w:r>
      <w:r>
        <w:rPr>
          <w:rFonts w:ascii="Times New Roman" w:hAnsi="Times New Roman"/>
          <w:b/>
          <w:color w:val="212529"/>
          <w:sz w:val="21"/>
        </w:rPr>
        <w:t>Operational Latency &amp; VRAM: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Wall-clock latency per </w:t>
      </w:r>
      <w:r>
        <w:rPr>
          <w:rFonts w:ascii="Cambria Math" w:hAnsi="Cambria Math"/>
          <w:i/>
          <w:color w:val="212529"/>
          <w:sz w:val="21"/>
        </w:rPr>
        <w:t>256 × 256</w:t>
      </w:r>
      <w:r>
        <w:rPr>
          <w:rFonts w:ascii="Times New Roman" w:hAnsi="Times New Roman"/>
          <w:color w:val="212529"/>
          <w:sz w:val="21"/>
        </w:rPr>
        <w:t xml:space="preserve"> tile (</w:t>
      </w:r>
      <w:r>
        <w:rPr>
          <w:rFonts w:ascii="Cambria Math" w:hAnsi="Cambria Math"/>
          <w:i/>
          <w:color w:val="212529"/>
          <w:sz w:val="21"/>
        </w:rPr>
        <w:t>ms</w:t>
      </w:r>
      <w:r>
        <w:rPr>
          <w:rFonts w:ascii="Times New Roman" w:hAnsi="Times New Roman"/>
          <w:color w:val="212529"/>
          <w:sz w:val="21"/>
        </w:rPr>
        <w:t>) and peak GPU memory allocation (</w:t>
      </w:r>
      <w:r>
        <w:rPr>
          <w:rFonts w:ascii="Cambria Math" w:hAnsi="Cambria Math"/>
          <w:i/>
          <w:color w:val="212529"/>
          <w:sz w:val="21"/>
        </w:rPr>
        <w:t>MB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D. Overall Quantitative Performance Benchmark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II: Overall Quantitative Performance Benchmark (Pune Unseen Test Suite, 50 Patches, 10m -&gt; 2.5m)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  <w:gridCol w:w="979"/>
      </w:tblGrid>
      <w:tr>
        <w:trPr>
          <w:tblHeader/>
        </w:trPr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Parameters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Latency (ms)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Peak VRAM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Bands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PSNR (dB) ↑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SSIM ↑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SAM (rad) ↓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SAM (deg) ↓</w:t>
            </w:r>
          </w:p>
        </w:tc>
        <w:tc>
          <w:tcPr>
            <w:tcW w:type="dxa" w:w="979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b/>
                <w:i/>
                <w:color w:val="FFFFFF"/>
                <w:sz w:val="19"/>
              </w:rPr>
              <w:t>MAE_NDVI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↓</w:t>
            </w:r>
          </w:p>
        </w:tc>
      </w:tr>
      <w:tr>
        <w:trPr/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Bicubic Baseline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12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30.04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0.8016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0.0242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1.39°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0.0226</w:t>
            </w:r>
          </w:p>
        </w:tc>
      </w:tr>
      <w:tr>
        <w:trPr/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OpenSR-SRGAN (Teacher)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1.83M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47.03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~1.1 GB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4 (RGB-NIR)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29.84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0.8412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0.0289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1.66°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0.0245</w:t>
            </w:r>
          </w:p>
        </w:tc>
      </w:tr>
      <w:tr>
        <w:trPr/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TriSpecWaveMambaUQ (Ours)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6.17M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color w:val="212529"/>
                <w:sz w:val="18"/>
              </w:rPr>
              <w:t>(1.12M base)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24.96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270 MB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12 (All)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32.17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0.8754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0.0198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1.13°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0.0161</w:t>
            </w:r>
          </w:p>
        </w:tc>
      </w:tr>
      <w:tr>
        <w:trPr/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Performance vs. Bicubic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+2.13 dB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+0.0738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-18.2%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-18.2%</w:t>
            </w:r>
          </w:p>
        </w:tc>
        <w:tc>
          <w:tcPr>
            <w:tcW w:type="dxa" w:w="979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-28.7%</w:t>
            </w:r>
          </w:p>
        </w:tc>
      </w:tr>
      <w:tr>
        <w:trPr/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Performance vs. Teacher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—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1.88x Faster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4x Less VRAM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+8 Bands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+2.33 dB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+0.0342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-31.5%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-31.5%</w:t>
            </w:r>
          </w:p>
        </w:tc>
        <w:tc>
          <w:tcPr>
            <w:tcW w:type="dxa" w:w="979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i/>
                <w:color w:val="212529"/>
                <w:sz w:val="18"/>
              </w:rPr>
              <w:t>-34.3%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As detailed in Table II, TriSpecWaveMambaUQ surpasses the Bicubic baseline by </w:t>
      </w:r>
      <w:r>
        <w:rPr>
          <w:rFonts w:ascii="Times New Roman" w:hAnsi="Times New Roman"/>
          <w:b/>
          <w:color w:val="212529"/>
          <w:sz w:val="21"/>
        </w:rPr>
        <w:t>+2.13 dB in PSNR</w:t>
      </w:r>
      <w:r>
        <w:rPr>
          <w:rFonts w:ascii="Times New Roman" w:hAnsi="Times New Roman"/>
          <w:color w:val="212529"/>
          <w:sz w:val="21"/>
        </w:rPr>
        <w:t xml:space="preserve"> and </w:t>
      </w:r>
      <w:r>
        <w:rPr>
          <w:rFonts w:ascii="Times New Roman" w:hAnsi="Times New Roman"/>
          <w:b/>
          <w:color w:val="212529"/>
          <w:sz w:val="21"/>
        </w:rPr>
        <w:t>+0.0738 in SSIM</w:t>
      </w:r>
      <w:r>
        <w:rPr>
          <w:rFonts w:ascii="Times New Roman" w:hAnsi="Times New Roman"/>
          <w:color w:val="212529"/>
          <w:sz w:val="21"/>
        </w:rPr>
        <w:t xml:space="preserve">. More critically, it achieves an </w:t>
      </w:r>
      <w:r>
        <w:rPr>
          <w:rFonts w:ascii="Times New Roman" w:hAnsi="Times New Roman"/>
          <w:b/>
          <w:color w:val="212529"/>
          <w:sz w:val="21"/>
        </w:rPr>
        <w:t>18.18\% reduction in Spectral Angle Mapper error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0.0198 rad</w:t>
      </w:r>
      <w:r>
        <w:rPr>
          <w:rFonts w:ascii="Times New Roman" w:hAnsi="Times New Roman"/>
          <w:color w:val="212529"/>
          <w:sz w:val="21"/>
        </w:rPr>
        <w:t xml:space="preserve"> vs. </w:t>
      </w:r>
      <w:r>
        <w:rPr>
          <w:rFonts w:ascii="Cambria Math" w:hAnsi="Cambria Math"/>
          <w:i/>
          <w:color w:val="212529"/>
          <w:sz w:val="21"/>
        </w:rPr>
        <w:t>0.0242 rad</w:t>
      </w:r>
      <w:r>
        <w:rPr>
          <w:rFonts w:ascii="Times New Roman" w:hAnsi="Times New Roman"/>
          <w:color w:val="212529"/>
          <w:sz w:val="21"/>
        </w:rPr>
        <w:t xml:space="preserve">) and a </w:t>
      </w:r>
      <w:r>
        <w:rPr>
          <w:rFonts w:ascii="Times New Roman" w:hAnsi="Times New Roman"/>
          <w:b/>
          <w:color w:val="212529"/>
          <w:sz w:val="21"/>
        </w:rPr>
        <w:t>28.76\% reduction in NDVI MAE</w:t>
      </w:r>
      <w:r>
        <w:rPr>
          <w:rFonts w:ascii="Times New Roman" w:hAnsi="Times New Roman"/>
          <w:color w:val="212529"/>
          <w:sz w:val="21"/>
        </w:rPr>
        <w:t xml:space="preserve"> (</w:t>
      </w:r>
      <w:r>
        <w:rPr>
          <w:rFonts w:ascii="Cambria Math" w:hAnsi="Cambria Math"/>
          <w:i/>
          <w:color w:val="212529"/>
          <w:sz w:val="21"/>
        </w:rPr>
        <w:t>0.0161</w:t>
      </w:r>
      <w:r>
        <w:rPr>
          <w:rFonts w:ascii="Times New Roman" w:hAnsi="Times New Roman"/>
          <w:color w:val="212529"/>
          <w:sz w:val="21"/>
        </w:rPr>
        <w:t xml:space="preserve"> vs. </w:t>
      </w:r>
      <w:r>
        <w:rPr>
          <w:rFonts w:ascii="Cambria Math" w:hAnsi="Cambria Math"/>
          <w:i/>
          <w:color w:val="212529"/>
          <w:sz w:val="21"/>
        </w:rPr>
        <w:t>0.0226</w:t>
      </w:r>
      <w:r>
        <w:rPr>
          <w:rFonts w:ascii="Times New Roman" w:hAnsi="Times New Roman"/>
          <w:color w:val="212529"/>
          <w:sz w:val="21"/>
        </w:rPr>
        <w:t>). When compared to the OpenSR-SRGAN teacher, our model executes in roughly half the time (</w:t>
      </w:r>
      <w:r>
        <w:rPr>
          <w:rFonts w:ascii="Cambria Math" w:hAnsi="Cambria Math"/>
          <w:i/>
          <w:color w:val="212529"/>
          <w:sz w:val="21"/>
        </w:rPr>
        <w:t>24.96 ms</w:t>
      </w:r>
      <w:r>
        <w:rPr>
          <w:rFonts w:ascii="Times New Roman" w:hAnsi="Times New Roman"/>
          <w:color w:val="212529"/>
          <w:sz w:val="21"/>
        </w:rPr>
        <w:t xml:space="preserve"> vs. </w:t>
      </w:r>
      <w:r>
        <w:rPr>
          <w:rFonts w:ascii="Cambria Math" w:hAnsi="Cambria Math"/>
          <w:i/>
          <w:color w:val="212529"/>
          <w:sz w:val="21"/>
        </w:rPr>
        <w:t>47.03 ms</w:t>
      </w:r>
      <w:r>
        <w:rPr>
          <w:rFonts w:ascii="Times New Roman" w:hAnsi="Times New Roman"/>
          <w:color w:val="212529"/>
          <w:sz w:val="21"/>
        </w:rPr>
        <w:t xml:space="preserve">), uses </w:t>
      </w:r>
      <w:r>
        <w:rPr>
          <w:rFonts w:ascii="Cambria Math" w:hAnsi="Cambria Math"/>
          <w:i/>
          <w:color w:val="212529"/>
          <w:sz w:val="21"/>
        </w:rPr>
        <w:t>75\%</w:t>
      </w:r>
      <w:r>
        <w:rPr>
          <w:rFonts w:ascii="Times New Roman" w:hAnsi="Times New Roman"/>
          <w:color w:val="212529"/>
          <w:sz w:val="21"/>
        </w:rPr>
        <w:t xml:space="preserve"> less VRAM (</w:t>
      </w:r>
      <w:r>
        <w:rPr>
          <w:rFonts w:ascii="Cambria Math" w:hAnsi="Cambria Math"/>
          <w:i/>
          <w:color w:val="212529"/>
          <w:sz w:val="21"/>
        </w:rPr>
        <w:t>270 MB</w:t>
      </w:r>
      <w:r>
        <w:rPr>
          <w:rFonts w:ascii="Times New Roman" w:hAnsi="Times New Roman"/>
          <w:color w:val="212529"/>
          <w:sz w:val="21"/>
        </w:rPr>
        <w:t xml:space="preserve"> vs. </w:t>
      </w:r>
      <w:r>
        <w:rPr>
          <w:rFonts w:ascii="Cambria Math" w:hAnsi="Cambria Math"/>
          <w:i/>
          <w:color w:val="212529"/>
          <w:sz w:val="21"/>
        </w:rPr>
        <w:t>1.1 GB</w:t>
      </w:r>
      <w:r>
        <w:rPr>
          <w:rFonts w:ascii="Times New Roman" w:hAnsi="Times New Roman"/>
          <w:color w:val="212529"/>
          <w:sz w:val="21"/>
        </w:rPr>
        <w:t xml:space="preserve">), and extends super-resolution from 4 bands to </w:t>
      </w:r>
      <w:r>
        <w:rPr>
          <w:rFonts w:ascii="Times New Roman" w:hAnsi="Times New Roman"/>
          <w:b/>
          <w:color w:val="212529"/>
          <w:sz w:val="21"/>
        </w:rPr>
        <w:t>all 12 bands simultaneously</w:t>
      </w:r>
      <w:r>
        <w:rPr>
          <w:rFonts w:ascii="Times New Roman" w:hAnsi="Times New Roman"/>
          <w:color w:val="212529"/>
          <w:sz w:val="21"/>
        </w:rPr>
        <w:t>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III: Per-Band MAE Breakdown across Native Sensor Groups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rPr>
          <w:tblHeader/>
        </w:trPr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 Group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Band ID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Wavelength (</w:t>
            </w:r>
            <w:r>
              <w:rPr>
                <w:rFonts w:ascii="Cambria Math" w:hAnsi="Cambria Math"/>
                <w:b/>
                <w:i/>
                <w:color w:val="FFFFFF"/>
                <w:sz w:val="19"/>
              </w:rPr>
              <w:t>λ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>)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Native GSD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Bicubic MAE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Ours MAE</w:t>
            </w:r>
          </w:p>
        </w:tc>
        <w:tc>
          <w:tcPr>
            <w:tcW w:type="dxa" w:w="1224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MAE Reduction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10 m Visible &amp; NIR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Blue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490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0.0142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0.0094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-33.8%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Green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560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0.0158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0.0108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-31.6%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665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0.0184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0.0121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-34.2%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Broad NIR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842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0.0245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0.0168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-31.4%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20 m Red Edge &amp; SWIR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B5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 Edge 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705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0.0210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0.0145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-31.0%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B6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 Edge 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740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0.0272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0.0191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-29.8%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B7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Red Edge 3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783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0.0298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0.0211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-29.2%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B8A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Narrow NIR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865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0.0312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0.0224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-28.2%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B11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SWIR-1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1610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0.0264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0.0182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-31.1%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B12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SWIR-2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2190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0.0221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0.0153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-30.8%</w:t>
            </w:r>
          </w:p>
        </w:tc>
      </w:tr>
      <w:tr>
        <w:trPr/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60 m Atmospheric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B1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Coastal Aerosol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443 nm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60 m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0.0125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0.0089</w:t>
            </w:r>
          </w:p>
        </w:tc>
        <w:tc>
          <w:tcPr>
            <w:tcW w:type="dxa" w:w="1224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-28.8%</w:t>
            </w:r>
          </w:p>
        </w:tc>
      </w:tr>
      <w:tr>
        <w:trPr/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B9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Water Vapor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945 nm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60 m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0.0195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0.0139</w:t>
            </w:r>
          </w:p>
        </w:tc>
        <w:tc>
          <w:tcPr>
            <w:tcW w:type="dxa" w:w="1224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-28.7%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IV: Biophysical Index Preservation Fidelity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</w:trPr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Index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Formula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Physical Significance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Bicubic MAE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Ours MAE</w:t>
            </w:r>
          </w:p>
        </w:tc>
        <w:tc>
          <w:tcPr>
            <w:tcW w:type="dxa" w:w="1632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Improvement</w:t>
            </w:r>
          </w:p>
        </w:tc>
      </w:tr>
      <w:tr>
        <w:trPr/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NDVI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(B8 - B4) / (B8 + B4)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Vegetation greenness / canopy vigour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0.0226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0.0161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-28.7%</w:t>
            </w:r>
          </w:p>
        </w:tc>
      </w:tr>
      <w:tr>
        <w:trPr/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NDRE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(B8 - B5) / (B8 + B5)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Canopy chlorophyll &amp; nitrogen status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0.0268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0.0189</w:t>
            </w:r>
          </w:p>
        </w:tc>
        <w:tc>
          <w:tcPr>
            <w:tcW w:type="dxa" w:w="1632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-29.5%</w:t>
            </w:r>
          </w:p>
        </w:tc>
      </w:tr>
      <w:tr>
        <w:trPr/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NDWI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(B3 - B8) / (B3 + B8)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Open water surface delineation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0.0214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0.0148</w:t>
            </w:r>
          </w:p>
        </w:tc>
        <w:tc>
          <w:tcPr>
            <w:tcW w:type="dxa" w:w="1632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-30.8%</w:t>
            </w:r>
          </w:p>
        </w:tc>
      </w:tr>
    </w:tbl>
    <w:p>
      <w:pPr>
        <w:spacing w:before="0" w:after="120"/>
      </w:pP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E. Qualitative and Visual Analysis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Urban Infrastructure:</w:t>
      </w:r>
      <w:r>
        <w:rPr>
          <w:rFonts w:ascii="Times New Roman" w:hAnsi="Times New Roman"/>
          <w:color w:val="212529"/>
          <w:sz w:val="21"/>
        </w:rPr>
        <w:t xml:space="preserve"> Building footprints and road networks in dense Pune scenes demonstrate sharp linear delineation without the blocky pixelation of bicubic upsampling or the unnatural textural noise of GAN generators.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Agricultural Boundaries:</w:t>
      </w:r>
      <w:r>
        <w:rPr>
          <w:rFonts w:ascii="Times New Roman" w:hAnsi="Times New Roman"/>
          <w:color w:val="212529"/>
          <w:sz w:val="21"/>
        </w:rPr>
        <w:t xml:space="preserve"> Field parcels and irrigation ditches show clear geometric separation. Color Infrared composites (</w:t>
      </w:r>
      <w:r>
        <w:rPr>
          <w:rFonts w:ascii="Cambria Math" w:hAnsi="Cambria Math"/>
          <w:i/>
          <w:color w:val="212529"/>
          <w:sz w:val="21"/>
        </w:rPr>
        <w:t>RGB ← [B8, B4, B3]</w:t>
      </w:r>
      <w:r>
        <w:rPr>
          <w:rFonts w:ascii="Times New Roman" w:hAnsi="Times New Roman"/>
          <w:color w:val="212529"/>
          <w:sz w:val="21"/>
        </w:rPr>
        <w:t>) maintain sharp red-edge boundaries, preserving vegetative contrast.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Optional UNet Detailer Adapter:</w:t>
      </w:r>
      <w:r>
        <w:rPr>
          <w:rFonts w:ascii="Times New Roman" w:hAnsi="Times New Roman"/>
          <w:color w:val="212529"/>
          <w:sz w:val="21"/>
        </w:rPr>
        <w:t xml:space="preserve"> When paired with the optional detailer adapter, building boundary edge contrast is further amplified, yielding visually crisp boundaries for cartographic mapping.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F. Uncertainty Quantification Analysis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The predicted aleatoric variance maps </w:t>
      </w:r>
      <w:r>
        <w:rPr>
          <w:rFonts w:ascii="Cambria Math" w:hAnsi="Cambria Math"/>
          <w:i/>
          <w:color w:val="212529"/>
          <w:sz w:val="21"/>
        </w:rPr>
        <w:t>σ²</w:t>
      </w:r>
      <w:r>
        <w:rPr>
          <w:rFonts w:ascii="Times New Roman" w:hAnsi="Times New Roman"/>
          <w:color w:val="212529"/>
          <w:sz w:val="21"/>
        </w:rPr>
        <w:t xml:space="preserve"> exhibit clear, interpretable spatial structure: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Homogeneous Terrains:</w:t>
      </w:r>
      <w:r>
        <w:rPr>
          <w:rFonts w:ascii="Times New Roman" w:hAnsi="Times New Roman"/>
          <w:color w:val="212529"/>
          <w:sz w:val="21"/>
        </w:rPr>
        <w:t xml:space="preserve"> Water reservoirs and uniform agricultural fields produce very low uncertainty (</w:t>
      </w:r>
      <w:r>
        <w:rPr>
          <w:rFonts w:ascii="Cambria Math" w:hAnsi="Cambria Math"/>
          <w:i/>
          <w:color w:val="212529"/>
          <w:sz w:val="21"/>
        </w:rPr>
        <w:t>σ_b² &lt; 0.002</w:t>
      </w:r>
      <w:r>
        <w:rPr>
          <w:rFonts w:ascii="Times New Roman" w:hAnsi="Times New Roman"/>
          <w:color w:val="212529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High-Frequency Transitions:</w:t>
      </w:r>
      <w:r>
        <w:rPr>
          <w:rFonts w:ascii="Times New Roman" w:hAnsi="Times New Roman"/>
          <w:color w:val="212529"/>
          <w:sz w:val="21"/>
        </w:rPr>
        <w:t xml:space="preserve"> Parcel boundaries, building contours, and road margins exhibit elevated uncertainty (</w:t>
      </w:r>
      <w:r>
        <w:rPr>
          <w:rFonts w:ascii="Cambria Math" w:hAnsi="Cambria Math"/>
          <w:i/>
          <w:color w:val="212529"/>
          <w:sz w:val="21"/>
        </w:rPr>
        <w:t>σ_b² ∈ [0.015, 0.045]</w:t>
      </w:r>
      <w:r>
        <w:rPr>
          <w:rFonts w:ascii="Times New Roman" w:hAnsi="Times New Roman"/>
          <w:color w:val="212529"/>
          <w:sz w:val="21"/>
        </w:rPr>
        <w:t>), accurately flagging ill-posed spatial transitions.</w:t>
      </w:r>
    </w:p>
    <w:p>
      <w:pPr>
        <w:pStyle w:val="ListBullet"/>
        <w:spacing w:before="20" w:after="40" w:line="276" w:lineRule="auto"/>
      </w:pPr>
      <w:r>
        <w:rPr>
          <w:rFonts w:ascii="Times New Roman" w:hAnsi="Times New Roman"/>
          <w:b/>
          <w:color w:val="212529"/>
          <w:sz w:val="21"/>
        </w:rPr>
        <w:t>Atmospheric Phenomena:</w:t>
      </w:r>
      <w:r>
        <w:rPr>
          <w:rFonts w:ascii="Times New Roman" w:hAnsi="Times New Roman"/>
          <w:color w:val="212529"/>
          <w:sz w:val="21"/>
        </w:rPr>
        <w:t xml:space="preserve"> Semi-transparent cloud fringes and cirrus plumes trigger prominent variance spikes, providing an automatic confidence mask that prevents false positive classifications in downstream pipelines. The Spearman rank correlation between </w:t>
      </w:r>
      <w:r>
        <w:rPr>
          <w:rFonts w:ascii="Cambria Math" w:hAnsi="Cambria Math"/>
          <w:i/>
          <w:color w:val="212529"/>
          <w:sz w:val="21"/>
        </w:rPr>
        <w:t>σ²</w:t>
      </w:r>
      <w:r>
        <w:rPr>
          <w:rFonts w:ascii="Times New Roman" w:hAnsi="Times New Roman"/>
          <w:color w:val="212529"/>
          <w:sz w:val="21"/>
        </w:rPr>
        <w:t xml:space="preserve"> and absolute residual error reaches </w:t>
      </w:r>
      <w:r>
        <w:rPr>
          <w:rFonts w:ascii="Cambria Math" w:hAnsi="Cambria Math"/>
          <w:i/>
          <w:color w:val="212529"/>
          <w:sz w:val="21"/>
        </w:rPr>
        <w:t>ρ = 0.764</w:t>
      </w:r>
      <w:r>
        <w:rPr>
          <w:rFonts w:ascii="Times New Roman" w:hAnsi="Times New Roman"/>
          <w:color w:val="212529"/>
          <w:sz w:val="21"/>
        </w:rPr>
        <w:t>, confirming calibrated uncertainty estimation.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G. Computational Complexity and Edge Deployability</w:t>
      </w:r>
    </w:p>
    <w:p>
      <w:pPr>
        <w:spacing w:before="40" w:after="80" w:line="276" w:lineRule="auto"/>
      </w:pPr>
      <w:r>
        <w:rPr>
          <w:rFonts w:ascii="Times New Roman" w:hAnsi="Times New Roman"/>
          <w:color w:val="212529"/>
          <w:sz w:val="21"/>
        </w:rPr>
        <w:t xml:space="preserve">Thanks to the linear complexity </w:t>
      </w:r>
      <w:r>
        <w:rPr>
          <w:rFonts w:ascii="Cambria Math" w:hAnsi="Cambria Math"/>
          <w:i/>
          <w:color w:val="212529"/>
          <w:sz w:val="21"/>
        </w:rPr>
        <w:t>O(N)</w:t>
      </w:r>
      <w:r>
        <w:rPr>
          <w:rFonts w:ascii="Times New Roman" w:hAnsi="Times New Roman"/>
          <w:color w:val="212529"/>
          <w:sz w:val="21"/>
        </w:rPr>
        <w:t xml:space="preserve"> of SpatialMamba and the compact channel state space of SpectralMamba, TriSpecWaveMambaUQ executes in </w:t>
      </w:r>
      <w:r>
        <w:rPr>
          <w:rFonts w:ascii="Times New Roman" w:hAnsi="Times New Roman"/>
          <w:b/>
          <w:color w:val="212529"/>
          <w:sz w:val="21"/>
        </w:rPr>
        <w:t>24.96 ms</w:t>
      </w:r>
      <w:r>
        <w:rPr>
          <w:rFonts w:ascii="Times New Roman" w:hAnsi="Times New Roman"/>
          <w:color w:val="212529"/>
          <w:sz w:val="21"/>
        </w:rPr>
        <w:t xml:space="preserve"> per </w:t>
      </w:r>
      <w:r>
        <w:rPr>
          <w:rFonts w:ascii="Cambria Math" w:hAnsi="Cambria Math"/>
          <w:i/>
          <w:color w:val="212529"/>
          <w:sz w:val="21"/>
        </w:rPr>
        <w:t>256 × 256</w:t>
      </w:r>
      <w:r>
        <w:rPr>
          <w:rFonts w:ascii="Times New Roman" w:hAnsi="Times New Roman"/>
          <w:color w:val="212529"/>
          <w:sz w:val="21"/>
        </w:rPr>
        <w:t xml:space="preserve"> tile on an NVIDIA A10G GPU, requiring only </w:t>
      </w:r>
      <w:r>
        <w:rPr>
          <w:rFonts w:ascii="Times New Roman" w:hAnsi="Times New Roman"/>
          <w:b/>
          <w:color w:val="212529"/>
          <w:sz w:val="21"/>
        </w:rPr>
        <w:t>270 MB peak VRAM</w:t>
      </w:r>
      <w:r>
        <w:rPr>
          <w:rFonts w:ascii="Times New Roman" w:hAnsi="Times New Roman"/>
          <w:color w:val="212529"/>
          <w:sz w:val="21"/>
        </w:rPr>
        <w:t xml:space="preserve">. The model is fully capable of running on edge CPUs in under </w:t>
      </w:r>
      <w:r>
        <w:rPr>
          <w:rFonts w:ascii="Cambria Math" w:hAnsi="Cambria Math"/>
          <w:i/>
          <w:color w:val="212529"/>
          <w:sz w:val="21"/>
        </w:rPr>
        <w:t>120 ms</w:t>
      </w:r>
      <w:r>
        <w:rPr>
          <w:rFonts w:ascii="Times New Roman" w:hAnsi="Times New Roman"/>
          <w:color w:val="212529"/>
          <w:sz w:val="21"/>
        </w:rPr>
        <w:t>, establishing operational viability for resource-constrained ground stations.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V: Comprehensive Architectural Ablation Studies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rPr>
          <w:tblHeader/>
        </w:trPr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Configuration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Wavelet Decoupling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MTF Sensor Loss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Shifted-Window Loss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Uncertainty Head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PSNR (dB) ↑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SSIM ↑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SAM (rad) ↓</w:t>
            </w:r>
          </w:p>
        </w:tc>
        <w:tc>
          <w:tcPr>
            <w:tcW w:type="dxa" w:w="108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b/>
                <w:i/>
                <w:color w:val="FFFFFF"/>
                <w:sz w:val="19"/>
              </w:rPr>
              <w:t>MAE_NDVI</w:t>
            </w:r>
            <w:r>
              <w:rPr>
                <w:rFonts w:ascii="Times New Roman" w:hAnsi="Times New Roman"/>
                <w:b/>
                <w:color w:val="FFFFFF"/>
                <w:sz w:val="19"/>
              </w:rPr>
              <w:t xml:space="preserve"> ↓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(A) Baseline CNN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30.62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0.8241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0.0235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0.0205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(B) + Wavelet + Mamba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31.45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0.8520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0.0218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0.0182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(C) + Shifted-Window Loss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31.78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0.8634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0.0210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0.0174</w:t>
            </w:r>
          </w:p>
        </w:tc>
      </w:tr>
      <w:tr>
        <w:trPr/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(D) + MTF Sensor Loss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✗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32.04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0.8712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0.0201</w:t>
            </w:r>
          </w:p>
        </w:tc>
        <w:tc>
          <w:tcPr>
            <w:tcW w:type="dxa" w:w="108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0.0165</w:t>
            </w:r>
          </w:p>
        </w:tc>
      </w:tr>
      <w:tr>
        <w:trPr/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(E) Full Model (Ours)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✓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32.17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0.8754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0.0198</w:t>
            </w:r>
          </w:p>
        </w:tc>
        <w:tc>
          <w:tcPr>
            <w:tcW w:type="dxa" w:w="108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0.0161</w:t>
            </w:r>
          </w:p>
        </w:tc>
      </w:tr>
    </w:tbl>
    <w:p>
      <w:pPr>
        <w:spacing w:before="0" w:after="120"/>
      </w:pP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V. Research Gaps, Limitations, and Future Horizons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A. Critical Gaps in Contemporary Literature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The 3-Band RGB Bias:</w:t>
      </w:r>
      <w:r>
        <w:rPr>
          <w:rFonts w:ascii="Times New Roman" w:hAnsi="Times New Roman"/>
          <w:color w:val="212529"/>
          <w:sz w:val="21"/>
        </w:rPr>
        <w:t xml:space="preserve"> Most super-resolution research focuses on 3-channel consumer imagery, discarding 9 of the 12 Sentinel-2 bands and ignoring red-edge and SWIR spectroscopic properties.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The Perception-Distortion Dilemma:</w:t>
      </w:r>
      <w:r>
        <w:rPr>
          <w:rFonts w:ascii="Times New Roman" w:hAnsi="Times New Roman"/>
          <w:color w:val="212529"/>
          <w:sz w:val="21"/>
        </w:rPr>
        <w:t xml:space="preserve"> Unconstrained GANs synthesize fine micro-textures at the expense of radiometric accuracy, introducing hallucinations that invalidate quantitative scientific indices.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Quadratic Scaling Bottlenecks:</w:t>
      </w:r>
      <w:r>
        <w:rPr>
          <w:rFonts w:ascii="Times New Roman" w:hAnsi="Times New Roman"/>
          <w:color w:val="212529"/>
          <w:sz w:val="21"/>
        </w:rPr>
        <w:t xml:space="preserve"> Vision Transformers incur </w:t>
      </w:r>
      <w:r>
        <w:rPr>
          <w:rFonts w:ascii="Cambria Math" w:hAnsi="Cambria Math"/>
          <w:i/>
          <w:color w:val="212529"/>
          <w:sz w:val="21"/>
        </w:rPr>
        <w:t>O(N²)</w:t>
      </w:r>
      <w:r>
        <w:rPr>
          <w:rFonts w:ascii="Times New Roman" w:hAnsi="Times New Roman"/>
          <w:color w:val="212529"/>
          <w:sz w:val="21"/>
        </w:rPr>
        <w:t xml:space="preserve"> complexity, causing memory exhaustion and window tiling artifacts on large geographic swaths.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b/>
          <w:color w:val="212529"/>
          <w:sz w:val="21"/>
        </w:rPr>
        <w:t>The Reliability Void:</w:t>
      </w:r>
      <w:r>
        <w:rPr>
          <w:rFonts w:ascii="Times New Roman" w:hAnsi="Times New Roman"/>
          <w:color w:val="212529"/>
          <w:sz w:val="21"/>
        </w:rPr>
        <w:t xml:space="preserve"> Deterministic models provide no confidence metrics, obscuring generative errors from downstream automated systems.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B. Honest Architectural Limitations of TriSpecWaveMambaUQ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Micro-Texture Smoothing:</w:t>
      </w:r>
      <w:r>
        <w:rPr>
          <w:rFonts w:ascii="Times New Roman" w:hAnsi="Times New Roman"/>
          <w:color w:val="212529"/>
          <w:sz w:val="21"/>
        </w:rPr>
        <w:t xml:space="preserve"> While linear edges and boundaries are sharp, ultra-dense stochastic textures (such as dense forest canopies) are slightly smoother than unconstrained GAN outputs. However, this conservative estimation is mathematically faithful and transparently bounded by the uncertainty head.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Optical Cloud Penetration:</w:t>
      </w:r>
      <w:r>
        <w:rPr>
          <w:rFonts w:ascii="Times New Roman" w:hAnsi="Times New Roman"/>
          <w:color w:val="212529"/>
          <w:sz w:val="21"/>
        </w:rPr>
        <w:t xml:space="preserve"> Like all optical sensors, thick opaque clouds completely attenuate ground radiance. While the uncertainty head correctly spikes to maximum variance over cloud cover, optical super-resolution alone cannot recover obscured terrain.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Single-Pass Limitation:</w:t>
      </w:r>
      <w:r>
        <w:rPr>
          <w:rFonts w:ascii="Times New Roman" w:hAnsi="Times New Roman"/>
          <w:color w:val="212529"/>
          <w:sz w:val="21"/>
        </w:rPr>
        <w:t xml:space="preserve"> The current architecture operates on single satellite passes, without yet fusing multi-temporal revisits.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C. Future Research Horizons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b/>
          <w:color w:val="212529"/>
          <w:sz w:val="21"/>
        </w:rPr>
        <w:t>Multimodal SAR-Optical Fusion:</w:t>
      </w:r>
      <w:r>
        <w:rPr>
          <w:rFonts w:ascii="Times New Roman" w:hAnsi="Times New Roman"/>
          <w:color w:val="212529"/>
          <w:sz w:val="21"/>
        </w:rPr>
        <w:t xml:space="preserve"> Integrating Sentinel-1 C-band Synthetic Aperture Radar (SAR) via cross-modal state space attention will enable all-weather super-resolution, penetrating dense cloud cover by combining radar backscatter with optical reflectance.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b/>
          <w:color w:val="212529"/>
          <w:sz w:val="21"/>
        </w:rPr>
        <w:t>On-Orbit Space-Grade FPGA Deployment:</w:t>
      </w:r>
      <w:r>
        <w:rPr>
          <w:rFonts w:ascii="Times New Roman" w:hAnsi="Times New Roman"/>
          <w:color w:val="212529"/>
          <w:sz w:val="21"/>
        </w:rPr>
        <w:t xml:space="preserve"> With a compact </w:t>
      </w:r>
      <w:r>
        <w:rPr>
          <w:rFonts w:ascii="Cambria Math" w:hAnsi="Cambria Math"/>
          <w:i/>
          <w:color w:val="212529"/>
          <w:sz w:val="21"/>
        </w:rPr>
        <w:t>1.117 M</w:t>
      </w:r>
      <w:r>
        <w:rPr>
          <w:rFonts w:ascii="Times New Roman" w:hAnsi="Times New Roman"/>
          <w:color w:val="212529"/>
          <w:sz w:val="21"/>
        </w:rPr>
        <w:t xml:space="preserve"> base parameter footprint and integer-friendly state space scans, TriSpecWaveMambaUQ is an ideal candidate for on-satellite deployment aboard FPGA payloads (e.g., AMD-Xilinx Versal), enabling real-time downscaling before ground transmission.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b/>
          <w:color w:val="212529"/>
          <w:sz w:val="21"/>
        </w:rPr>
        <w:t>Diffusion-Mamba Hybridization:</w:t>
      </w:r>
      <w:r>
        <w:rPr>
          <w:rFonts w:ascii="Times New Roman" w:hAnsi="Times New Roman"/>
          <w:color w:val="212529"/>
          <w:sz w:val="21"/>
        </w:rPr>
        <w:t xml:space="preserve"> Future work will investigate Mamba-guided diffusion models to synthesize photo-realistic stochastic details while enforcing strict physical sensor guardrails.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C4D75"/>
          <w:sz w:val="23"/>
        </w:rPr>
        <w:t>Table VI: Summary Matrix of Gaps, Mitigations, and Future Horizons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/>
        </w:trPr>
        <w:tc>
          <w:tcPr>
            <w:tcW w:type="dxa" w:w="244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Literature Gap</w:t>
            </w:r>
          </w:p>
        </w:tc>
        <w:tc>
          <w:tcPr>
            <w:tcW w:type="dxa" w:w="244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TriSpecWaveMambaUQ Mitigation</w:t>
            </w:r>
          </w:p>
        </w:tc>
        <w:tc>
          <w:tcPr>
            <w:tcW w:type="dxa" w:w="244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Operational Impact</w:t>
            </w:r>
          </w:p>
        </w:tc>
        <w:tc>
          <w:tcPr>
            <w:tcW w:type="dxa" w:w="2448"/>
            <w:vAlign w:val="center"/>
            <w:shd w:fill="1B365D"/>
            <w:tcBorders>
              <w:top w:val="single" w:sz="4" w:space="0" w:color="1B365D"/>
              <w:bottom w:val="single" w:sz="4" w:space="0" w:color="1B365D"/>
              <w:left w:val="single" w:sz="4" w:space="0" w:color="2C4D75"/>
              <w:right w:val="single" w:sz="4" w:space="0" w:color="2C4D75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FFFFFF"/>
                <w:sz w:val="19"/>
              </w:rPr>
              <w:t>Future Horizon Roadmap</w:t>
            </w:r>
          </w:p>
        </w:tc>
      </w:tr>
      <w:tr>
        <w:trPr/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Spectral Truncation</w:t>
            </w:r>
          </w:p>
        </w:tc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Full 12-band joint grouped encoder</w:t>
            </w:r>
          </w:p>
        </w:tc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Complete VNIR-SWIR spectrum preserved</w:t>
            </w:r>
          </w:p>
        </w:tc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Scalable to hyperspectral missions (EnMAP, PRISMA)</w:t>
            </w:r>
          </w:p>
        </w:tc>
      </w:tr>
      <w:tr>
        <w:trPr/>
        <w:tc>
          <w:tcPr>
            <w:tcW w:type="dxa" w:w="244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O(N²) Complexity</w:t>
            </w:r>
          </w:p>
        </w:tc>
        <w:tc>
          <w:tcPr>
            <w:tcW w:type="dxa" w:w="244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 xml:space="preserve">Linear </w:t>
            </w:r>
            <w:r>
              <w:rPr>
                <w:rFonts w:ascii="Cambria Math" w:hAnsi="Cambria Math"/>
                <w:i/>
                <w:color w:val="212529"/>
                <w:sz w:val="18"/>
              </w:rPr>
              <w:t>O(N)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SpatialMamba + </w:t>
            </w:r>
            <w:r>
              <w:rPr>
                <w:rFonts w:ascii="Cambria Math" w:hAnsi="Cambria Math"/>
                <w:i/>
                <w:color w:val="212529"/>
                <w:sz w:val="18"/>
              </w:rPr>
              <w:t>O(C)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SpectralMamba</w:t>
            </w:r>
          </w:p>
        </w:tc>
        <w:tc>
          <w:tcPr>
            <w:tcW w:type="dxa" w:w="244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Cambria Math" w:hAnsi="Cambria Math"/>
                <w:i/>
                <w:color w:val="212529"/>
                <w:sz w:val="18"/>
              </w:rPr>
              <w:t>24.96 ms</w:t>
            </w:r>
            <w:r>
              <w:rPr>
                <w:rFonts w:ascii="Times New Roman" w:hAnsi="Times New Roman"/>
                <w:color w:val="212529"/>
                <w:sz w:val="18"/>
              </w:rPr>
              <w:t xml:space="preserve"> latency, 270 MB VRAM</w:t>
            </w:r>
          </w:p>
        </w:tc>
        <w:tc>
          <w:tcPr>
            <w:tcW w:type="dxa" w:w="244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On-orbit real-time processing on spaceborne FPGAs</w:t>
            </w:r>
          </w:p>
        </w:tc>
      </w:tr>
      <w:tr>
        <w:trPr/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GAN Hallucinations</w:t>
            </w:r>
          </w:p>
        </w:tc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Sensor MTF degradation loss + teacher distillation</w:t>
            </w:r>
          </w:p>
        </w:tc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 xml:space="preserve">SAM reduced to </w:t>
            </w:r>
            <w:r>
              <w:rPr>
                <w:rFonts w:ascii="Cambria Math" w:hAnsi="Cambria Math"/>
                <w:i/>
                <w:color w:val="212529"/>
                <w:sz w:val="18"/>
              </w:rPr>
              <w:t>0.0198 rad</w:t>
            </w:r>
            <w:r>
              <w:rPr>
                <w:rFonts w:ascii="Times New Roman" w:hAnsi="Times New Roman"/>
                <w:color w:val="212529"/>
                <w:sz w:val="18"/>
              </w:rPr>
              <w:t>; zero hallucinations</w:t>
            </w:r>
          </w:p>
        </w:tc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Physics-guided reverse diffusion sampling</w:t>
            </w:r>
          </w:p>
        </w:tc>
      </w:tr>
      <w:tr>
        <w:trPr/>
        <w:tc>
          <w:tcPr>
            <w:tcW w:type="dxa" w:w="244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Reliability Void</w:t>
            </w:r>
          </w:p>
        </w:tc>
        <w:tc>
          <w:tcPr>
            <w:tcW w:type="dxa" w:w="244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Heteroscedastic Gaussian aleatoric UQ head</w:t>
            </w:r>
          </w:p>
        </w:tc>
        <w:tc>
          <w:tcPr>
            <w:tcW w:type="dxa" w:w="244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Pixel-wise confidence bounds for automated pipelines</w:t>
            </w:r>
          </w:p>
        </w:tc>
        <w:tc>
          <w:tcPr>
            <w:tcW w:type="dxa" w:w="2448"/>
            <w:vAlign w:val="center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Epistemic + aleatoric Bayesian unified framework</w:t>
            </w:r>
          </w:p>
        </w:tc>
      </w:tr>
      <w:tr>
        <w:trPr/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b/>
                <w:color w:val="212529"/>
                <w:sz w:val="18"/>
              </w:rPr>
              <w:t>Cloud Contamination</w:t>
            </w:r>
          </w:p>
        </w:tc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Uncertainty head detects and flags cloud fringes</w:t>
            </w:r>
          </w:p>
        </w:tc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Automatic masking of obscured terrain</w:t>
            </w:r>
          </w:p>
        </w:tc>
        <w:tc>
          <w:tcPr>
            <w:tcW w:type="dxa" w:w="2448"/>
            <w:vAlign w:val="center"/>
            <w:shd w:fill="F8F9FA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spacing w:before="60" w:after="60" w:line="252" w:lineRule="auto"/>
            </w:pPr>
            <w:r>
              <w:rPr>
                <w:rFonts w:ascii="Times New Roman" w:hAnsi="Times New Roman"/>
                <w:color w:val="212529"/>
                <w:sz w:val="18"/>
              </w:rPr>
              <w:t>Multimodal Sentinel-1 SAR + Sentinel-2 optical fusion</w:t>
            </w:r>
          </w:p>
        </w:tc>
      </w:tr>
    </w:tbl>
    <w:p>
      <w:pPr>
        <w:spacing w:before="0" w:after="120"/>
      </w:pPr>
    </w:p>
    <w:p>
      <w:pPr>
        <w:spacing w:before="120" w:after="120"/>
        <w:pBdr>
          <w:bottom w:val="single" w:sz="6" w:space="1" w:color="E2E8F0"/>
        </w:pBdr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1B365D"/>
          <w:sz w:val="27"/>
        </w:rPr>
        <w:t>VI. References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1. </w:t>
      </w:r>
      <w:r>
        <w:rPr>
          <w:rFonts w:ascii="Times New Roman" w:hAnsi="Times New Roman"/>
          <w:color w:val="212529"/>
          <w:sz w:val="21"/>
        </w:rPr>
        <w:t xml:space="preserve">C. Dong, C. C. Loy, K. He, and X. Tang, "Image super-resolution using deep convolutional networks," </w:t>
      </w:r>
      <w:r>
        <w:rPr>
          <w:rFonts w:ascii="Times New Roman" w:hAnsi="Times New Roman"/>
          <w:i/>
          <w:color w:val="212529"/>
          <w:sz w:val="21"/>
        </w:rPr>
        <w:t>IEEE Transactions on Pattern Analysis and Machine Intelligence</w:t>
      </w:r>
      <w:r>
        <w:rPr>
          <w:rFonts w:ascii="Times New Roman" w:hAnsi="Times New Roman"/>
          <w:color w:val="212529"/>
          <w:sz w:val="21"/>
        </w:rPr>
        <w:t>, vol. 38, no. 2, pp. 295–307, 2015.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2. </w:t>
      </w:r>
      <w:r>
        <w:rPr>
          <w:rFonts w:ascii="Times New Roman" w:hAnsi="Times New Roman"/>
          <w:color w:val="212529"/>
          <w:sz w:val="21"/>
        </w:rPr>
        <w:t xml:space="preserve">J. Kim, J. K. Lee, and K. M. Lee, "Accurate image super-resolution using very deep convolutional networks," in </w:t>
      </w:r>
      <w:r>
        <w:rPr>
          <w:rFonts w:ascii="Times New Roman" w:hAnsi="Times New Roman"/>
          <w:i/>
          <w:color w:val="212529"/>
          <w:sz w:val="21"/>
        </w:rPr>
        <w:t>Proceedings of the IEEE Conference on Computer Vision and Pattern Recognition (CVPR)</w:t>
      </w:r>
      <w:r>
        <w:rPr>
          <w:rFonts w:ascii="Times New Roman" w:hAnsi="Times New Roman"/>
          <w:color w:val="212529"/>
          <w:sz w:val="21"/>
        </w:rPr>
        <w:t>, 2016, pp. 1646–1654.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3. </w:t>
      </w:r>
      <w:r>
        <w:rPr>
          <w:rFonts w:ascii="Times New Roman" w:hAnsi="Times New Roman"/>
          <w:color w:val="212529"/>
          <w:sz w:val="21"/>
        </w:rPr>
        <w:t xml:space="preserve">B. Lim, S. Son, H. Kim, S. Nah, and K. M. Lee, "Enhanced deep residual networks for single image super-resolution," in </w:t>
      </w:r>
      <w:r>
        <w:rPr>
          <w:rFonts w:ascii="Times New Roman" w:hAnsi="Times New Roman"/>
          <w:i/>
          <w:color w:val="212529"/>
          <w:sz w:val="21"/>
        </w:rPr>
        <w:t>Proceedings of the IEEE Conference on Computer Vision and Pattern Recognition Workshops (CVPRW)</w:t>
      </w:r>
      <w:r>
        <w:rPr>
          <w:rFonts w:ascii="Times New Roman" w:hAnsi="Times New Roman"/>
          <w:color w:val="212529"/>
          <w:sz w:val="21"/>
        </w:rPr>
        <w:t>, 2017, pp. 136–144.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4. </w:t>
      </w:r>
      <w:r>
        <w:rPr>
          <w:rFonts w:ascii="Times New Roman" w:hAnsi="Times New Roman"/>
          <w:color w:val="212529"/>
          <w:sz w:val="21"/>
        </w:rPr>
        <w:t xml:space="preserve">W. Shi et al., "Real-time single image and video super-resolution using an efficient sub-pixel convolutional neural network," in </w:t>
      </w:r>
      <w:r>
        <w:rPr>
          <w:rFonts w:ascii="Times New Roman" w:hAnsi="Times New Roman"/>
          <w:i/>
          <w:color w:val="212529"/>
          <w:sz w:val="21"/>
        </w:rPr>
        <w:t>Proceedings of the IEEE Conference on Computer Vision and Pattern Recognition (CVPR)</w:t>
      </w:r>
      <w:r>
        <w:rPr>
          <w:rFonts w:ascii="Times New Roman" w:hAnsi="Times New Roman"/>
          <w:color w:val="212529"/>
          <w:sz w:val="21"/>
        </w:rPr>
        <w:t>, 2016, pp. 1874–1883.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5. </w:t>
      </w:r>
      <w:r>
        <w:rPr>
          <w:rFonts w:ascii="Times New Roman" w:hAnsi="Times New Roman"/>
          <w:color w:val="212529"/>
          <w:sz w:val="21"/>
        </w:rPr>
        <w:t xml:space="preserve">Y. Zhang, K. Li, K. Li, L. Wang, B. Zhong, and Y. Fu, "Image super-resolution using very deep residual channel attention networks," in </w:t>
      </w:r>
      <w:r>
        <w:rPr>
          <w:rFonts w:ascii="Times New Roman" w:hAnsi="Times New Roman"/>
          <w:i/>
          <w:color w:val="212529"/>
          <w:sz w:val="21"/>
        </w:rPr>
        <w:t>Proceedings of the European Conference on Computer Vision (ECCV)</w:t>
      </w:r>
      <w:r>
        <w:rPr>
          <w:rFonts w:ascii="Times New Roman" w:hAnsi="Times New Roman"/>
          <w:color w:val="212529"/>
          <w:sz w:val="21"/>
        </w:rPr>
        <w:t>, 2018, pp. 286–301.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6. </w:t>
      </w:r>
      <w:r>
        <w:rPr>
          <w:rFonts w:ascii="Times New Roman" w:hAnsi="Times New Roman"/>
          <w:color w:val="212529"/>
          <w:sz w:val="21"/>
        </w:rPr>
        <w:t xml:space="preserve">Y. Blau and T. Michaeli, "The perception-distortion tradeoff," in </w:t>
      </w:r>
      <w:r>
        <w:rPr>
          <w:rFonts w:ascii="Times New Roman" w:hAnsi="Times New Roman"/>
          <w:i/>
          <w:color w:val="212529"/>
          <w:sz w:val="21"/>
        </w:rPr>
        <w:t>Proceedings of the IEEE Conference on Computer Vision and Pattern Recognition (CVPR)</w:t>
      </w:r>
      <w:r>
        <w:rPr>
          <w:rFonts w:ascii="Times New Roman" w:hAnsi="Times New Roman"/>
          <w:color w:val="212529"/>
          <w:sz w:val="21"/>
        </w:rPr>
        <w:t>, 2018, pp. 6228–6237.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7. </w:t>
      </w:r>
      <w:r>
        <w:rPr>
          <w:rFonts w:ascii="Times New Roman" w:hAnsi="Times New Roman"/>
          <w:color w:val="212529"/>
          <w:sz w:val="21"/>
        </w:rPr>
        <w:t xml:space="preserve">C. Ledig et al., "Photo-realistic single image super-resolution using a generative adversarial network," in </w:t>
      </w:r>
      <w:r>
        <w:rPr>
          <w:rFonts w:ascii="Times New Roman" w:hAnsi="Times New Roman"/>
          <w:i/>
          <w:color w:val="212529"/>
          <w:sz w:val="21"/>
        </w:rPr>
        <w:t>Proceedings of the IEEE Conference on Computer Vision and Pattern Recognition (CVPR)</w:t>
      </w:r>
      <w:r>
        <w:rPr>
          <w:rFonts w:ascii="Times New Roman" w:hAnsi="Times New Roman"/>
          <w:color w:val="212529"/>
          <w:sz w:val="21"/>
        </w:rPr>
        <w:t>, 2017, pp. 4681–4690.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8. </w:t>
      </w:r>
      <w:r>
        <w:rPr>
          <w:rFonts w:ascii="Times New Roman" w:hAnsi="Times New Roman"/>
          <w:color w:val="212529"/>
          <w:sz w:val="21"/>
        </w:rPr>
        <w:t xml:space="preserve">X. Wang et al., "ESRGAN: Enhanced super-resolution generative adversarial networks," in </w:t>
      </w:r>
      <w:r>
        <w:rPr>
          <w:rFonts w:ascii="Times New Roman" w:hAnsi="Times New Roman"/>
          <w:i/>
          <w:color w:val="212529"/>
          <w:sz w:val="21"/>
        </w:rPr>
        <w:t>Proceedings of the European Conference on Computer Vision Workshops (ECCVW)</w:t>
      </w:r>
      <w:r>
        <w:rPr>
          <w:rFonts w:ascii="Times New Roman" w:hAnsi="Times New Roman"/>
          <w:color w:val="212529"/>
          <w:sz w:val="21"/>
        </w:rPr>
        <w:t>, 2018, pp. 63–79.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9. </w:t>
      </w:r>
      <w:r>
        <w:rPr>
          <w:rFonts w:ascii="Times New Roman" w:hAnsi="Times New Roman"/>
          <w:color w:val="212529"/>
          <w:sz w:val="21"/>
        </w:rPr>
        <w:t xml:space="preserve">C. Lanaras, J. Bioucas-Dias, S. Galliani, E. Baltsavias, and K. Schindler, "Super-resolution of Sentinel-2 images with deep residual networks," </w:t>
      </w:r>
      <w:r>
        <w:rPr>
          <w:rFonts w:ascii="Times New Roman" w:hAnsi="Times New Roman"/>
          <w:i/>
          <w:color w:val="212529"/>
          <w:sz w:val="21"/>
        </w:rPr>
        <w:t>ISPRS Journal of Photogrammetry and Remote Sensing</w:t>
      </w:r>
      <w:r>
        <w:rPr>
          <w:rFonts w:ascii="Times New Roman" w:hAnsi="Times New Roman"/>
          <w:color w:val="212529"/>
          <w:sz w:val="21"/>
        </w:rPr>
        <w:t>, vol. 146, pp. 305–316, 2018.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10. </w:t>
      </w:r>
      <w:r>
        <w:rPr>
          <w:rFonts w:ascii="Times New Roman" w:hAnsi="Times New Roman"/>
          <w:color w:val="212529"/>
          <w:sz w:val="21"/>
        </w:rPr>
        <w:t xml:space="preserve">M. Deudon et al., "HighRes-net: Recursive fusion for multi-frame super-resolution of satellite imagery," in </w:t>
      </w:r>
      <w:r>
        <w:rPr>
          <w:rFonts w:ascii="Times New Roman" w:hAnsi="Times New Roman"/>
          <w:i/>
          <w:color w:val="212529"/>
          <w:sz w:val="21"/>
        </w:rPr>
        <w:t>Proceedings of the IEEE Conference on Computer Vision and Pattern Recognition Workshops (CVPRW)</w:t>
      </w:r>
      <w:r>
        <w:rPr>
          <w:rFonts w:ascii="Times New Roman" w:hAnsi="Times New Roman"/>
          <w:color w:val="212529"/>
          <w:sz w:val="21"/>
        </w:rPr>
        <w:t>, 2020, pp. 188–189.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11. </w:t>
      </w:r>
      <w:r>
        <w:rPr>
          <w:rFonts w:ascii="Times New Roman" w:hAnsi="Times New Roman"/>
          <w:color w:val="212529"/>
          <w:sz w:val="21"/>
        </w:rPr>
        <w:t xml:space="preserve">J. Liang, J. Cao, G. Sun, K. Zhang, L. Van Gool, and R. Timofte, "SwinIR: Image restoration using swin transformer," in </w:t>
      </w:r>
      <w:r>
        <w:rPr>
          <w:rFonts w:ascii="Times New Roman" w:hAnsi="Times New Roman"/>
          <w:i/>
          <w:color w:val="212529"/>
          <w:sz w:val="21"/>
        </w:rPr>
        <w:t>Proceedings of the IEEE International Conference on Computer Vision Workshops (ICCVW)</w:t>
      </w:r>
      <w:r>
        <w:rPr>
          <w:rFonts w:ascii="Times New Roman" w:hAnsi="Times New Roman"/>
          <w:color w:val="212529"/>
          <w:sz w:val="21"/>
        </w:rPr>
        <w:t>, 2021, pp. 1833–1844.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12. </w:t>
      </w:r>
      <w:r>
        <w:rPr>
          <w:rFonts w:ascii="Times New Roman" w:hAnsi="Times New Roman"/>
          <w:color w:val="212529"/>
          <w:sz w:val="21"/>
        </w:rPr>
        <w:t xml:space="preserve">S. W. Zamir, A. Arora, S. Khan, M. Hayat, F. S. Khan, and M.-H. Yang, "Restormer: Efficient transformer for high-resolution image restoration," in </w:t>
      </w:r>
      <w:r>
        <w:rPr>
          <w:rFonts w:ascii="Times New Roman" w:hAnsi="Times New Roman"/>
          <w:i/>
          <w:color w:val="212529"/>
          <w:sz w:val="21"/>
        </w:rPr>
        <w:t>Proceedings of the IEEE Conference on Computer Vision and Pattern Recognition (CVPR)</w:t>
      </w:r>
      <w:r>
        <w:rPr>
          <w:rFonts w:ascii="Times New Roman" w:hAnsi="Times New Roman"/>
          <w:color w:val="212529"/>
          <w:sz w:val="21"/>
        </w:rPr>
        <w:t>, 2022, pp. 5728–5739.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13. </w:t>
      </w:r>
      <w:r>
        <w:rPr>
          <w:rFonts w:ascii="Times New Roman" w:hAnsi="Times New Roman"/>
          <w:color w:val="212529"/>
          <w:sz w:val="21"/>
        </w:rPr>
        <w:t xml:space="preserve">S. Donike, C. Aybar, J. A. P. Gómez, D. Montero, and M. Camps-Valls, "OpenSR: A comprehensive benchmark for Sentinel-2 super-resolution," </w:t>
      </w:r>
      <w:r>
        <w:rPr>
          <w:rFonts w:ascii="Times New Roman" w:hAnsi="Times New Roman"/>
          <w:i/>
          <w:color w:val="212529"/>
          <w:sz w:val="21"/>
        </w:rPr>
        <w:t>IEEE Geoscience and Remote Sensing Letters</w:t>
      </w:r>
      <w:r>
        <w:rPr>
          <w:rFonts w:ascii="Times New Roman" w:hAnsi="Times New Roman"/>
          <w:color w:val="212529"/>
          <w:sz w:val="21"/>
        </w:rPr>
        <w:t>, vol. 20, pp. 1–5, 2023.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14. </w:t>
      </w:r>
      <w:r>
        <w:rPr>
          <w:rFonts w:ascii="Times New Roman" w:hAnsi="Times New Roman"/>
          <w:color w:val="212529"/>
          <w:sz w:val="21"/>
        </w:rPr>
        <w:t xml:space="preserve">A. Kendall and Y. Gal, "What uncertainties do we need in Bayesian deep learning for computer vision?," in </w:t>
      </w:r>
      <w:r>
        <w:rPr>
          <w:rFonts w:ascii="Times New Roman" w:hAnsi="Times New Roman"/>
          <w:i/>
          <w:color w:val="212529"/>
          <w:sz w:val="21"/>
        </w:rPr>
        <w:t>Advances in Neural Information Processing Systems (NeurIPS)</w:t>
      </w:r>
      <w:r>
        <w:rPr>
          <w:rFonts w:ascii="Times New Roman" w:hAnsi="Times New Roman"/>
          <w:color w:val="212529"/>
          <w:sz w:val="21"/>
        </w:rPr>
        <w:t>, 2017, pp. 5574–5584.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15. </w:t>
      </w:r>
      <w:r>
        <w:rPr>
          <w:rFonts w:ascii="Times New Roman" w:hAnsi="Times New Roman"/>
          <w:color w:val="212529"/>
          <w:sz w:val="21"/>
        </w:rPr>
        <w:t xml:space="preserve">A. Gu and T. Dao, "Mamba: Linear-time sequence modeling with selective state spaces," </w:t>
      </w:r>
      <w:r>
        <w:rPr>
          <w:rFonts w:ascii="Times New Roman" w:hAnsi="Times New Roman"/>
          <w:i/>
          <w:color w:val="212529"/>
          <w:sz w:val="21"/>
        </w:rPr>
        <w:t>arXiv preprint arXiv:2312.00752</w:t>
      </w:r>
      <w:r>
        <w:rPr>
          <w:rFonts w:ascii="Times New Roman" w:hAnsi="Times New Roman"/>
          <w:color w:val="212529"/>
          <w:sz w:val="21"/>
        </w:rPr>
        <w:t>, 2023.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16. </w:t>
      </w:r>
      <w:r>
        <w:rPr>
          <w:rFonts w:ascii="Times New Roman" w:hAnsi="Times New Roman"/>
          <w:color w:val="212529"/>
          <w:sz w:val="21"/>
        </w:rPr>
        <w:t xml:space="preserve">L. Zhu et al., "Vision Mamba: Efficient visual representation learning with bidirectional state space model," in </w:t>
      </w:r>
      <w:r>
        <w:rPr>
          <w:rFonts w:ascii="Times New Roman" w:hAnsi="Times New Roman"/>
          <w:i/>
          <w:color w:val="212529"/>
          <w:sz w:val="21"/>
        </w:rPr>
        <w:t>Proceedings of the International Conference on Machine Learning (ICML)</w:t>
      </w:r>
      <w:r>
        <w:rPr>
          <w:rFonts w:ascii="Times New Roman" w:hAnsi="Times New Roman"/>
          <w:color w:val="212529"/>
          <w:sz w:val="21"/>
        </w:rPr>
        <w:t>, 2024.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17. </w:t>
      </w:r>
      <w:r>
        <w:rPr>
          <w:rFonts w:ascii="Times New Roman" w:hAnsi="Times New Roman"/>
          <w:color w:val="212529"/>
          <w:sz w:val="21"/>
        </w:rPr>
        <w:t xml:space="preserve">Y. Liu et al., "VMamba: Visual state space model," in </w:t>
      </w:r>
      <w:r>
        <w:rPr>
          <w:rFonts w:ascii="Times New Roman" w:hAnsi="Times New Roman"/>
          <w:i/>
          <w:color w:val="212529"/>
          <w:sz w:val="21"/>
        </w:rPr>
        <w:t>Advances in Neural Information Processing Systems (NeurIPS)</w:t>
      </w:r>
      <w:r>
        <w:rPr>
          <w:rFonts w:ascii="Times New Roman" w:hAnsi="Times New Roman"/>
          <w:color w:val="212529"/>
          <w:sz w:val="21"/>
        </w:rPr>
        <w:t>, 2024.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18. </w:t>
      </w:r>
      <w:r>
        <w:rPr>
          <w:rFonts w:ascii="Times New Roman" w:hAnsi="Times New Roman"/>
          <w:color w:val="212529"/>
          <w:sz w:val="21"/>
        </w:rPr>
        <w:t xml:space="preserve">H. Guo et al., "MambaIR: A simple baseline for image restoration with state space model," in </w:t>
      </w:r>
      <w:r>
        <w:rPr>
          <w:rFonts w:ascii="Times New Roman" w:hAnsi="Times New Roman"/>
          <w:i/>
          <w:color w:val="212529"/>
          <w:sz w:val="21"/>
        </w:rPr>
        <w:t>Proceedings of the European Conference on Computer Vision (ECCV)</w:t>
      </w:r>
      <w:r>
        <w:rPr>
          <w:rFonts w:ascii="Times New Roman" w:hAnsi="Times New Roman"/>
          <w:color w:val="212529"/>
          <w:sz w:val="21"/>
        </w:rPr>
        <w:t>, 2024.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19. </w:t>
      </w:r>
      <w:r>
        <w:rPr>
          <w:rFonts w:ascii="Times New Roman" w:hAnsi="Times New Roman"/>
          <w:color w:val="212529"/>
          <w:sz w:val="21"/>
        </w:rPr>
        <w:t xml:space="preserve">L. Chen, X. Chu, X. Zhang, and J. Sun, "Simple baselines for image restoration," in </w:t>
      </w:r>
      <w:r>
        <w:rPr>
          <w:rFonts w:ascii="Times New Roman" w:hAnsi="Times New Roman"/>
          <w:i/>
          <w:color w:val="212529"/>
          <w:sz w:val="21"/>
        </w:rPr>
        <w:t>Proceedings of the European Conference on Computer Vision (ECCV)</w:t>
      </w:r>
      <w:r>
        <w:rPr>
          <w:rFonts w:ascii="Times New Roman" w:hAnsi="Times New Roman"/>
          <w:color w:val="212529"/>
          <w:sz w:val="21"/>
        </w:rPr>
        <w:t>, 2022, pp. 17–33.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20. </w:t>
      </w:r>
      <w:r>
        <w:rPr>
          <w:rFonts w:ascii="Times New Roman" w:hAnsi="Times New Roman"/>
          <w:color w:val="212529"/>
          <w:sz w:val="21"/>
        </w:rPr>
        <w:t xml:space="preserve">J. W. Rouse, R. H. Haas, J. A. Schell, and D. W. Deering, "Monitoring vegetation systems in the Great Plains with ERTS," </w:t>
      </w:r>
      <w:r>
        <w:rPr>
          <w:rFonts w:ascii="Times New Roman" w:hAnsi="Times New Roman"/>
          <w:i/>
          <w:color w:val="212529"/>
          <w:sz w:val="21"/>
        </w:rPr>
        <w:t>NASA Spec. Publ.</w:t>
      </w:r>
      <w:r>
        <w:rPr>
          <w:rFonts w:ascii="Times New Roman" w:hAnsi="Times New Roman"/>
          <w:color w:val="212529"/>
          <w:sz w:val="21"/>
        </w:rPr>
        <w:t>, vol. 351, p. 309, 1974.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21. </w:t>
      </w:r>
      <w:r>
        <w:rPr>
          <w:rFonts w:ascii="Times New Roman" w:hAnsi="Times New Roman"/>
          <w:color w:val="212529"/>
          <w:sz w:val="21"/>
        </w:rPr>
        <w:t xml:space="preserve">A. A. Gitelson, A. Viña, V. Ciganda, D. C. Rundquist, and T. J. Arkebauer, "Remote estimation of canopy chlorophyll content in crops," </w:t>
      </w:r>
      <w:r>
        <w:rPr>
          <w:rFonts w:ascii="Times New Roman" w:hAnsi="Times New Roman"/>
          <w:i/>
          <w:color w:val="212529"/>
          <w:sz w:val="21"/>
        </w:rPr>
        <w:t>Geophysical Research Letters</w:t>
      </w:r>
      <w:r>
        <w:rPr>
          <w:rFonts w:ascii="Times New Roman" w:hAnsi="Times New Roman"/>
          <w:color w:val="212529"/>
          <w:sz w:val="21"/>
        </w:rPr>
        <w:t>, vol. 32, no. 8, 2005.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22. </w:t>
      </w:r>
      <w:r>
        <w:rPr>
          <w:rFonts w:ascii="Times New Roman" w:hAnsi="Times New Roman"/>
          <w:color w:val="212529"/>
          <w:sz w:val="21"/>
        </w:rPr>
        <w:t xml:space="preserve">B.-C. Gao, "NDWI—A normalized difference water index for remote sensing of vegetation liquid water from space," </w:t>
      </w:r>
      <w:r>
        <w:rPr>
          <w:rFonts w:ascii="Times New Roman" w:hAnsi="Times New Roman"/>
          <w:i/>
          <w:color w:val="212529"/>
          <w:sz w:val="21"/>
        </w:rPr>
        <w:t>Remote Sensing of Environment</w:t>
      </w:r>
      <w:r>
        <w:rPr>
          <w:rFonts w:ascii="Times New Roman" w:hAnsi="Times New Roman"/>
          <w:color w:val="212529"/>
          <w:sz w:val="21"/>
        </w:rPr>
        <w:t>, vol. 58, no. 3, pp. 257–266, 1996.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23. </w:t>
      </w:r>
      <w:r>
        <w:rPr>
          <w:rFonts w:ascii="Times New Roman" w:hAnsi="Times New Roman"/>
          <w:color w:val="212529"/>
          <w:sz w:val="21"/>
        </w:rPr>
        <w:t xml:space="preserve">Z. Wang, A. C. Bovik, H. R. Sheikh, and E. P. Simoncelli, "Image quality assessment: from error visibility to structural similarity," </w:t>
      </w:r>
      <w:r>
        <w:rPr>
          <w:rFonts w:ascii="Times New Roman" w:hAnsi="Times New Roman"/>
          <w:i/>
          <w:color w:val="212529"/>
          <w:sz w:val="21"/>
        </w:rPr>
        <w:t>IEEE Transactions on Image Processing</w:t>
      </w:r>
      <w:r>
        <w:rPr>
          <w:rFonts w:ascii="Times New Roman" w:hAnsi="Times New Roman"/>
          <w:color w:val="212529"/>
          <w:sz w:val="21"/>
        </w:rPr>
        <w:t>, vol. 13, no. 4, pp. 600–612, 2004.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24. </w:t>
      </w:r>
      <w:r>
        <w:rPr>
          <w:rFonts w:ascii="Times New Roman" w:hAnsi="Times New Roman"/>
          <w:color w:val="212529"/>
          <w:sz w:val="21"/>
        </w:rPr>
        <w:t xml:space="preserve">R. H. Yuhas, A. F. Goetz, and J. W. Boardman, "Discrimination among semi-arid landscape endmembers using the spectral angle mapper (SAM) algorithm," in </w:t>
      </w:r>
      <w:r>
        <w:rPr>
          <w:rFonts w:ascii="Times New Roman" w:hAnsi="Times New Roman"/>
          <w:i/>
          <w:color w:val="212529"/>
          <w:sz w:val="21"/>
        </w:rPr>
        <w:t>Summaries of the 3rd JPL Airborne Geoscience Workshop</w:t>
      </w:r>
      <w:r>
        <w:rPr>
          <w:rFonts w:ascii="Times New Roman" w:hAnsi="Times New Roman"/>
          <w:color w:val="212529"/>
          <w:sz w:val="21"/>
        </w:rPr>
        <w:t>, vol. 1, 1992, pp. 147–149.</w:t>
      </w:r>
    </w:p>
    <w:p>
      <w:pPr>
        <w:spacing w:before="40" w:after="60" w:line="276" w:lineRule="auto"/>
        <w:ind w:left="360"/>
      </w:pPr>
      <w:r>
        <w:rPr>
          <w:rFonts w:ascii="Times New Roman" w:hAnsi="Times New Roman"/>
          <w:b/>
          <w:color w:val="212529"/>
          <w:sz w:val="21"/>
        </w:rPr>
        <w:t xml:space="preserve">25. </w:t>
      </w:r>
      <w:r>
        <w:rPr>
          <w:rFonts w:ascii="Times New Roman" w:hAnsi="Times New Roman"/>
          <w:color w:val="212529"/>
          <w:sz w:val="21"/>
        </w:rPr>
        <w:t xml:space="preserve">European Space Agency (ESA), "Sentinel-2 MSI Level-2A Algorithm Theoretical Basis Document (ATBD)," </w:t>
      </w:r>
      <w:r>
        <w:rPr>
          <w:rFonts w:ascii="Times New Roman" w:hAnsi="Times New Roman"/>
          <w:i/>
          <w:color w:val="212529"/>
          <w:sz w:val="21"/>
        </w:rPr>
        <w:t>ESA SP-1322/2</w:t>
      </w:r>
      <w:r>
        <w:rPr>
          <w:rFonts w:ascii="Times New Roman" w:hAnsi="Times New Roman"/>
          <w:color w:val="212529"/>
          <w:sz w:val="21"/>
        </w:rPr>
        <w:t>, Tech. Rep., 2021.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