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>1. Services. The Contractor shall deliver the services described in Exhibit A.</w:t>
      </w:r>
    </w:p>
    <w:p>
      <w:r>
        <w:t>2. Payment. The Client shall pay each invoice within thirty (30) days of receipt.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$12,000</w:t>
            </w:r>
          </w:p>
        </w:tc>
      </w:tr>
    </w:tbl>
    <w:p>
      <w:r>
        <w:t>3. Confidentiality. Each party shall keep the other party's information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