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B0E" w:rsidRPr="00875E9E" w:rsidRDefault="00DF2343" w:rsidP="00990DD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8.25pt;margin-top:-1.5pt;width:73.5pt;height:69pt;z-index:251658240" fillcolor="white [3201]" strokecolor="#92cddc [1944]" strokeweight="1pt">
            <v:fill color2="#b6dde8 [1304]" focusposition="1" focussize="" focus="100%" type="gradient"/>
            <v:shadow on="t" type="perspective" color="#205867 [1608]" opacity=".5" offset="1pt" offset2="-3pt"/>
            <v:textbox style="mso-next-textbox:#_x0000_s1027">
              <w:txbxContent>
                <w:p w:rsidR="001B0B0E" w:rsidRDefault="001B0B0E" w:rsidP="001B0B0E">
                  <w:r>
                    <w:t>Organization Logo</w:t>
                  </w:r>
                  <w:r>
                    <w:tab/>
                  </w:r>
                </w:p>
              </w:txbxContent>
            </v:textbox>
          </v:shape>
        </w:pict>
      </w:r>
      <w:r w:rsidR="001B0B0E" w:rsidRPr="00875E9E">
        <w:rPr>
          <w:rFonts w:ascii="Times New Roman" w:hAnsi="Times New Roman" w:cs="Times New Roman"/>
          <w:sz w:val="24"/>
          <w:szCs w:val="24"/>
        </w:rPr>
        <w:tab/>
      </w:r>
      <w:r w:rsidR="001B0B0E" w:rsidRPr="00875E9E">
        <w:rPr>
          <w:rFonts w:ascii="Times New Roman" w:hAnsi="Times New Roman" w:cs="Times New Roman"/>
          <w:sz w:val="24"/>
          <w:szCs w:val="24"/>
        </w:rPr>
        <w:tab/>
      </w:r>
      <w:r w:rsidR="001B0B0E" w:rsidRPr="00875E9E">
        <w:rPr>
          <w:rFonts w:ascii="Times New Roman" w:hAnsi="Times New Roman" w:cs="Times New Roman"/>
          <w:sz w:val="24"/>
          <w:szCs w:val="24"/>
        </w:rPr>
        <w:tab/>
      </w:r>
    </w:p>
    <w:p w:rsidR="00211C12" w:rsidRPr="00875E9E" w:rsidRDefault="00211C12" w:rsidP="00990DD9">
      <w:pPr>
        <w:spacing w:after="0" w:line="240" w:lineRule="auto"/>
        <w:ind w:left="6480" w:firstLine="720"/>
        <w:jc w:val="both"/>
        <w:rPr>
          <w:rFonts w:ascii="Times New Roman" w:hAnsi="Times New Roman" w:cs="Times New Roman"/>
          <w:b/>
          <w:sz w:val="24"/>
          <w:szCs w:val="24"/>
        </w:rPr>
      </w:pPr>
      <w:r w:rsidRPr="00875E9E">
        <w:rPr>
          <w:rFonts w:ascii="Times New Roman" w:hAnsi="Times New Roman" w:cs="Times New Roman"/>
          <w:b/>
          <w:sz w:val="24"/>
          <w:szCs w:val="24"/>
        </w:rPr>
        <w:t>Prepared by</w:t>
      </w:r>
    </w:p>
    <w:p w:rsidR="00211C12" w:rsidRPr="00875E9E" w:rsidRDefault="00211C12" w:rsidP="00990DD9">
      <w:pPr>
        <w:spacing w:after="0" w:line="240" w:lineRule="auto"/>
        <w:ind w:left="6480" w:firstLine="720"/>
        <w:jc w:val="both"/>
        <w:rPr>
          <w:rFonts w:ascii="Times New Roman" w:hAnsi="Times New Roman" w:cs="Times New Roman"/>
          <w:sz w:val="24"/>
          <w:szCs w:val="24"/>
        </w:rPr>
      </w:pPr>
      <w:r w:rsidRPr="00875E9E">
        <w:rPr>
          <w:rFonts w:ascii="Times New Roman" w:hAnsi="Times New Roman" w:cs="Times New Roman"/>
          <w:sz w:val="24"/>
          <w:szCs w:val="24"/>
        </w:rPr>
        <w:t>KPMG</w:t>
      </w:r>
    </w:p>
    <w:p w:rsidR="00211C12" w:rsidRPr="00875E9E" w:rsidRDefault="00211C12" w:rsidP="00990DD9">
      <w:pPr>
        <w:spacing w:after="0" w:line="240" w:lineRule="auto"/>
        <w:ind w:left="6480" w:firstLine="720"/>
        <w:jc w:val="both"/>
        <w:rPr>
          <w:rFonts w:ascii="Times New Roman" w:hAnsi="Times New Roman" w:cs="Times New Roman"/>
          <w:sz w:val="24"/>
          <w:szCs w:val="24"/>
        </w:rPr>
      </w:pPr>
    </w:p>
    <w:p w:rsidR="00211C12" w:rsidRPr="00875E9E" w:rsidRDefault="00211C12" w:rsidP="00990DD9">
      <w:pPr>
        <w:spacing w:after="0" w:line="240" w:lineRule="auto"/>
        <w:jc w:val="both"/>
        <w:rPr>
          <w:rFonts w:ascii="Times New Roman" w:hAnsi="Times New Roman" w:cs="Times New Roman"/>
          <w:b/>
          <w:sz w:val="24"/>
          <w:szCs w:val="24"/>
        </w:rPr>
      </w:pPr>
    </w:p>
    <w:p w:rsidR="007F318D" w:rsidRPr="00875E9E" w:rsidRDefault="007F318D" w:rsidP="00990DD9">
      <w:pPr>
        <w:spacing w:after="0" w:line="240" w:lineRule="auto"/>
        <w:jc w:val="both"/>
        <w:rPr>
          <w:rFonts w:ascii="Times New Roman" w:hAnsi="Times New Roman" w:cs="Times New Roman"/>
          <w:b/>
          <w:sz w:val="24"/>
          <w:szCs w:val="24"/>
        </w:rPr>
      </w:pPr>
    </w:p>
    <w:p w:rsidR="007F318D" w:rsidRPr="00875E9E" w:rsidRDefault="007F318D" w:rsidP="00990DD9">
      <w:pPr>
        <w:spacing w:after="0" w:line="240" w:lineRule="auto"/>
        <w:jc w:val="both"/>
        <w:rPr>
          <w:rFonts w:ascii="Times New Roman" w:hAnsi="Times New Roman" w:cs="Times New Roman"/>
          <w:b/>
          <w:sz w:val="24"/>
          <w:szCs w:val="24"/>
        </w:rPr>
      </w:pPr>
    </w:p>
    <w:p w:rsidR="007F318D" w:rsidRPr="00875E9E" w:rsidRDefault="007F318D" w:rsidP="00990DD9">
      <w:pPr>
        <w:spacing w:after="0" w:line="240" w:lineRule="auto"/>
        <w:jc w:val="both"/>
        <w:rPr>
          <w:rFonts w:ascii="Times New Roman" w:hAnsi="Times New Roman" w:cs="Times New Roman"/>
          <w:b/>
          <w:sz w:val="24"/>
          <w:szCs w:val="24"/>
        </w:rPr>
      </w:pPr>
    </w:p>
    <w:p w:rsidR="007F318D" w:rsidRPr="00875E9E" w:rsidRDefault="007F318D" w:rsidP="00990DD9">
      <w:pPr>
        <w:spacing w:after="0" w:line="240" w:lineRule="auto"/>
        <w:jc w:val="both"/>
        <w:rPr>
          <w:rFonts w:ascii="Times New Roman" w:hAnsi="Times New Roman" w:cs="Times New Roman"/>
          <w:b/>
          <w:sz w:val="24"/>
          <w:szCs w:val="24"/>
        </w:rPr>
      </w:pPr>
    </w:p>
    <w:p w:rsidR="007F318D" w:rsidRPr="00875E9E" w:rsidRDefault="007F318D" w:rsidP="00990DD9">
      <w:pPr>
        <w:spacing w:after="0" w:line="240" w:lineRule="auto"/>
        <w:jc w:val="both"/>
        <w:rPr>
          <w:rFonts w:ascii="Times New Roman" w:hAnsi="Times New Roman" w:cs="Times New Roman"/>
          <w:b/>
          <w:sz w:val="24"/>
          <w:szCs w:val="24"/>
        </w:rPr>
      </w:pPr>
    </w:p>
    <w:p w:rsidR="00211C12" w:rsidRPr="00802AA9" w:rsidRDefault="001B0B0E" w:rsidP="00990DD9">
      <w:pPr>
        <w:pStyle w:val="BodyText"/>
        <w:spacing w:after="0" w:line="240" w:lineRule="auto"/>
        <w:jc w:val="both"/>
        <w:rPr>
          <w:bCs/>
          <w:sz w:val="24"/>
          <w:szCs w:val="24"/>
        </w:rPr>
      </w:pPr>
      <w:r w:rsidRPr="00875E9E">
        <w:rPr>
          <w:b/>
          <w:sz w:val="24"/>
          <w:szCs w:val="24"/>
        </w:rPr>
        <w:t>Organization Name</w:t>
      </w:r>
      <w:r w:rsidR="00211C12" w:rsidRPr="00875E9E">
        <w:rPr>
          <w:sz w:val="24"/>
          <w:szCs w:val="24"/>
        </w:rPr>
        <w:t xml:space="preserve">: </w:t>
      </w:r>
      <w:r w:rsidR="00211C12" w:rsidRPr="00802AA9">
        <w:rPr>
          <w:sz w:val="24"/>
          <w:szCs w:val="24"/>
        </w:rPr>
        <w:t xml:space="preserve"> </w:t>
      </w:r>
      <w:r w:rsidR="00211C12" w:rsidRPr="00802AA9">
        <w:rPr>
          <w:bCs/>
          <w:sz w:val="24"/>
          <w:szCs w:val="24"/>
        </w:rPr>
        <w:t>ABC Limited</w:t>
      </w:r>
    </w:p>
    <w:p w:rsidR="00211C12" w:rsidRPr="00875E9E" w:rsidRDefault="001B0B0E"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Area</w:t>
      </w:r>
      <w:r w:rsidR="00211C12" w:rsidRPr="00875E9E">
        <w:rPr>
          <w:rFonts w:ascii="Times New Roman" w:hAnsi="Times New Roman" w:cs="Times New Roman"/>
          <w:b/>
          <w:sz w:val="24"/>
          <w:szCs w:val="24"/>
        </w:rPr>
        <w:t>:</w:t>
      </w:r>
      <w:r w:rsidR="00211C12" w:rsidRPr="00875E9E">
        <w:rPr>
          <w:rFonts w:ascii="Times New Roman" w:hAnsi="Times New Roman" w:cs="Times New Roman"/>
          <w:sz w:val="24"/>
          <w:szCs w:val="24"/>
        </w:rPr>
        <w:t xml:space="preserve">  </w:t>
      </w:r>
      <w:r w:rsidR="00211C12" w:rsidRPr="00802AA9">
        <w:rPr>
          <w:rFonts w:ascii="Times New Roman" w:hAnsi="Times New Roman" w:cs="Times New Roman"/>
          <w:sz w:val="24"/>
          <w:szCs w:val="24"/>
        </w:rPr>
        <w:t>Finance &amp; accounts</w:t>
      </w:r>
    </w:p>
    <w:p w:rsidR="001B0B0E" w:rsidRPr="00875E9E" w:rsidRDefault="001B0B0E"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Location</w:t>
      </w:r>
      <w:r w:rsidR="00211C12" w:rsidRPr="00875E9E">
        <w:rPr>
          <w:rFonts w:ascii="Times New Roman" w:hAnsi="Times New Roman" w:cs="Times New Roman"/>
          <w:b/>
          <w:sz w:val="24"/>
          <w:szCs w:val="24"/>
        </w:rPr>
        <w:t>:</w:t>
      </w:r>
      <w:r w:rsidR="00211C12" w:rsidRPr="00875E9E">
        <w:rPr>
          <w:rFonts w:ascii="Times New Roman" w:hAnsi="Times New Roman" w:cs="Times New Roman"/>
          <w:sz w:val="24"/>
          <w:szCs w:val="24"/>
        </w:rPr>
        <w:t xml:space="preserve"> Halol</w:t>
      </w:r>
    </w:p>
    <w:p w:rsidR="00D82107" w:rsidRPr="00965BD6" w:rsidRDefault="00D82107" w:rsidP="00D82107">
      <w:pPr>
        <w:spacing w:after="0" w:line="240" w:lineRule="auto"/>
        <w:jc w:val="both"/>
        <w:rPr>
          <w:rFonts w:ascii="Times New Roman" w:hAnsi="Times New Roman" w:cs="Times New Roman"/>
          <w:sz w:val="24"/>
          <w:szCs w:val="24"/>
        </w:rPr>
      </w:pPr>
      <w:r w:rsidRPr="00D82107">
        <w:rPr>
          <w:rFonts w:ascii="Times New Roman" w:hAnsi="Times New Roman" w:cs="Times New Roman"/>
          <w:b/>
          <w:sz w:val="24"/>
          <w:szCs w:val="24"/>
        </w:rPr>
        <w:t>Process</w:t>
      </w:r>
      <w:r w:rsidR="00965BD6">
        <w:rPr>
          <w:rFonts w:ascii="Times New Roman" w:hAnsi="Times New Roman" w:cs="Times New Roman"/>
          <w:b/>
          <w:sz w:val="24"/>
          <w:szCs w:val="24"/>
        </w:rPr>
        <w:t xml:space="preserve">: </w:t>
      </w:r>
      <w:r w:rsidR="00965BD6">
        <w:rPr>
          <w:rFonts w:ascii="Calibri" w:hAnsi="Calibri" w:cs="Calibri"/>
          <w:color w:val="000000"/>
          <w:shd w:val="clear" w:color="auto" w:fill="FFFFFF"/>
        </w:rPr>
        <w:t>administration, function, bank management</w:t>
      </w:r>
    </w:p>
    <w:p w:rsidR="00D82107" w:rsidRPr="00D82107" w:rsidRDefault="00265C0E" w:rsidP="00D82107">
      <w:pPr>
        <w:spacing w:after="0" w:line="240" w:lineRule="auto"/>
        <w:jc w:val="both"/>
        <w:rPr>
          <w:rFonts w:ascii="Times New Roman" w:hAnsi="Times New Roman" w:cs="Times New Roman"/>
          <w:b/>
          <w:sz w:val="24"/>
          <w:szCs w:val="24"/>
        </w:rPr>
      </w:pPr>
      <w:r w:rsidRPr="00D82107">
        <w:rPr>
          <w:rFonts w:ascii="Times New Roman" w:hAnsi="Times New Roman" w:cs="Times New Roman"/>
          <w:b/>
          <w:sz w:val="24"/>
          <w:szCs w:val="24"/>
        </w:rPr>
        <w:t>Sub Process</w:t>
      </w:r>
      <w:r w:rsidR="00790C8A">
        <w:rPr>
          <w:rFonts w:ascii="Times New Roman" w:hAnsi="Times New Roman" w:cs="Times New Roman"/>
          <w:b/>
          <w:sz w:val="24"/>
          <w:szCs w:val="24"/>
        </w:rPr>
        <w:t xml:space="preserve">: </w:t>
      </w:r>
      <w:r w:rsidR="00790C8A">
        <w:rPr>
          <w:rFonts w:ascii="Calibri" w:hAnsi="Calibri" w:cs="Calibri"/>
          <w:color w:val="000000"/>
          <w:shd w:val="clear" w:color="auto" w:fill="FFFFFF"/>
        </w:rPr>
        <w:t>Assest</w:t>
      </w:r>
    </w:p>
    <w:p w:rsidR="00211C12" w:rsidRPr="00875E9E" w:rsidRDefault="001B0B0E"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Date of report</w:t>
      </w:r>
      <w:r w:rsidR="00530F2E" w:rsidRPr="00875E9E">
        <w:rPr>
          <w:rFonts w:ascii="Times New Roman" w:hAnsi="Times New Roman" w:cs="Times New Roman"/>
          <w:b/>
          <w:sz w:val="24"/>
          <w:szCs w:val="24"/>
        </w:rPr>
        <w:t xml:space="preserve">: </w:t>
      </w:r>
      <w:r w:rsidR="00530F2E" w:rsidRPr="00875E9E">
        <w:rPr>
          <w:rFonts w:ascii="Times New Roman" w:hAnsi="Times New Roman" w:cs="Times New Roman"/>
          <w:sz w:val="24"/>
          <w:szCs w:val="24"/>
        </w:rPr>
        <w:t>27 March 2020</w:t>
      </w:r>
    </w:p>
    <w:p w:rsidR="00D82107" w:rsidRDefault="00D82107" w:rsidP="00990DD9">
      <w:pPr>
        <w:spacing w:after="0" w:line="240" w:lineRule="auto"/>
        <w:jc w:val="both"/>
        <w:rPr>
          <w:rFonts w:ascii="Times New Roman" w:hAnsi="Times New Roman" w:cs="Times New Roman"/>
          <w:sz w:val="24"/>
          <w:szCs w:val="24"/>
        </w:rPr>
      </w:pPr>
    </w:p>
    <w:p w:rsidR="00D82107" w:rsidRPr="00875E9E" w:rsidRDefault="00D82107" w:rsidP="00990DD9">
      <w:pPr>
        <w:spacing w:after="0" w:line="240" w:lineRule="auto"/>
        <w:jc w:val="both"/>
        <w:rPr>
          <w:rFonts w:ascii="Times New Roman" w:hAnsi="Times New Roman" w:cs="Times New Roman"/>
          <w:sz w:val="24"/>
          <w:szCs w:val="24"/>
        </w:rPr>
      </w:pPr>
    </w:p>
    <w:p w:rsidR="007F318D" w:rsidRPr="00875E9E" w:rsidRDefault="007F318D" w:rsidP="00990DD9">
      <w:pPr>
        <w:spacing w:after="0" w:line="240" w:lineRule="auto"/>
        <w:jc w:val="both"/>
        <w:rPr>
          <w:rFonts w:ascii="Times New Roman" w:hAnsi="Times New Roman" w:cs="Times New Roman"/>
          <w:sz w:val="24"/>
          <w:szCs w:val="24"/>
        </w:rPr>
      </w:pPr>
    </w:p>
    <w:p w:rsidR="007F318D" w:rsidRPr="00875E9E" w:rsidRDefault="007F318D" w:rsidP="00990DD9">
      <w:pPr>
        <w:spacing w:after="0" w:line="240" w:lineRule="auto"/>
        <w:jc w:val="both"/>
        <w:rPr>
          <w:rFonts w:ascii="Times New Roman" w:hAnsi="Times New Roman" w:cs="Times New Roman"/>
          <w:sz w:val="24"/>
          <w:szCs w:val="24"/>
        </w:rPr>
      </w:pPr>
    </w:p>
    <w:p w:rsidR="00530F2E" w:rsidRPr="00875E9E" w:rsidRDefault="00530F2E" w:rsidP="00990DD9">
      <w:pPr>
        <w:spacing w:after="0" w:line="240" w:lineRule="auto"/>
        <w:jc w:val="both"/>
        <w:rPr>
          <w:rFonts w:ascii="Times New Roman" w:hAnsi="Times New Roman" w:cs="Times New Roman"/>
          <w:b/>
          <w:sz w:val="24"/>
          <w:szCs w:val="24"/>
        </w:rPr>
      </w:pPr>
    </w:p>
    <w:tbl>
      <w:tblPr>
        <w:tblStyle w:val="TableGrid"/>
        <w:tblW w:w="0" w:type="auto"/>
        <w:tblLook w:val="04A0"/>
      </w:tblPr>
      <w:tblGrid>
        <w:gridCol w:w="3910"/>
        <w:gridCol w:w="5666"/>
      </w:tblGrid>
      <w:tr w:rsidR="00A908F3" w:rsidRPr="00875E9E" w:rsidTr="00DB3114">
        <w:tc>
          <w:tcPr>
            <w:tcW w:w="4788" w:type="dxa"/>
          </w:tcPr>
          <w:p w:rsidR="00A908F3" w:rsidRPr="0058797C" w:rsidRDefault="00A908F3" w:rsidP="00990DD9">
            <w:pPr>
              <w:jc w:val="both"/>
              <w:rPr>
                <w:rFonts w:ascii="Times New Roman" w:hAnsi="Times New Roman" w:cs="Times New Roman"/>
                <w:b/>
                <w:sz w:val="24"/>
                <w:szCs w:val="24"/>
              </w:rPr>
            </w:pPr>
            <w:r w:rsidRPr="0058797C">
              <w:rPr>
                <w:rFonts w:ascii="Times New Roman" w:hAnsi="Times New Roman" w:cs="Times New Roman"/>
                <w:b/>
                <w:sz w:val="24"/>
                <w:szCs w:val="24"/>
              </w:rPr>
              <w:t>Distribution</w:t>
            </w:r>
          </w:p>
        </w:tc>
        <w:tc>
          <w:tcPr>
            <w:tcW w:w="4788" w:type="dxa"/>
          </w:tcPr>
          <w:p w:rsidR="00A908F3" w:rsidRPr="00875E9E" w:rsidRDefault="00A908F3" w:rsidP="00990DD9">
            <w:pPr>
              <w:jc w:val="both"/>
              <w:rPr>
                <w:rFonts w:ascii="Times New Roman" w:hAnsi="Times New Roman" w:cs="Times New Roman"/>
                <w:sz w:val="24"/>
                <w:szCs w:val="24"/>
              </w:rPr>
            </w:pPr>
            <w:r w:rsidRPr="00875E9E">
              <w:rPr>
                <w:rFonts w:ascii="Times New Roman" w:hAnsi="Times New Roman" w:cs="Times New Roman"/>
                <w:b/>
                <w:sz w:val="24"/>
                <w:szCs w:val="24"/>
              </w:rPr>
              <w:t>Audit Duration</w:t>
            </w:r>
            <w:r w:rsidR="008B64E8" w:rsidRPr="00875E9E">
              <w:rPr>
                <w:rFonts w:ascii="Times New Roman" w:hAnsi="Times New Roman" w:cs="Times New Roman"/>
                <w:b/>
                <w:sz w:val="24"/>
                <w:szCs w:val="24"/>
              </w:rPr>
              <w:t xml:space="preserve">: </w:t>
            </w:r>
            <w:r w:rsidR="008B64E8" w:rsidRPr="00875E9E">
              <w:rPr>
                <w:rFonts w:ascii="Times New Roman" w:hAnsi="Times New Roman" w:cs="Times New Roman"/>
                <w:sz w:val="24"/>
                <w:szCs w:val="24"/>
              </w:rPr>
              <w:t>3Month</w:t>
            </w:r>
          </w:p>
        </w:tc>
      </w:tr>
      <w:tr w:rsidR="00A908F3" w:rsidRPr="00875E9E" w:rsidTr="00DB3114">
        <w:tc>
          <w:tcPr>
            <w:tcW w:w="4788" w:type="dxa"/>
          </w:tcPr>
          <w:p w:rsidR="00A908F3" w:rsidRPr="0058797C" w:rsidRDefault="00A908F3" w:rsidP="00990DD9">
            <w:pPr>
              <w:jc w:val="both"/>
              <w:rPr>
                <w:rFonts w:ascii="Times New Roman" w:hAnsi="Times New Roman" w:cs="Times New Roman"/>
                <w:b/>
                <w:sz w:val="24"/>
                <w:szCs w:val="24"/>
              </w:rPr>
            </w:pPr>
            <w:r w:rsidRPr="0058797C">
              <w:rPr>
                <w:rFonts w:ascii="Times New Roman" w:hAnsi="Times New Roman" w:cs="Times New Roman"/>
                <w:b/>
                <w:sz w:val="24"/>
                <w:szCs w:val="24"/>
              </w:rPr>
              <w:t>Head</w:t>
            </w:r>
          </w:p>
        </w:tc>
        <w:tc>
          <w:tcPr>
            <w:tcW w:w="4788" w:type="dxa"/>
          </w:tcPr>
          <w:p w:rsidR="00A908F3" w:rsidRPr="00F46BAE" w:rsidRDefault="00A908F3" w:rsidP="00990DD9">
            <w:pPr>
              <w:jc w:val="both"/>
              <w:rPr>
                <w:rFonts w:ascii="Times New Roman" w:hAnsi="Times New Roman" w:cs="Times New Roman"/>
                <w:b/>
                <w:sz w:val="24"/>
                <w:szCs w:val="24"/>
              </w:rPr>
            </w:pPr>
            <w:r w:rsidRPr="00F46BAE">
              <w:rPr>
                <w:rFonts w:ascii="Times New Roman" w:hAnsi="Times New Roman" w:cs="Times New Roman"/>
                <w:b/>
                <w:sz w:val="24"/>
                <w:szCs w:val="24"/>
              </w:rPr>
              <w:t>Closing meeting</w:t>
            </w:r>
          </w:p>
        </w:tc>
      </w:tr>
      <w:tr w:rsidR="00A908F3" w:rsidRPr="00875E9E" w:rsidTr="00DB3114">
        <w:trPr>
          <w:trHeight w:val="332"/>
        </w:trPr>
        <w:tc>
          <w:tcPr>
            <w:tcW w:w="4788" w:type="dxa"/>
          </w:tcPr>
          <w:p w:rsidR="00A908F3" w:rsidRPr="00875E9E" w:rsidRDefault="00A908F3" w:rsidP="00990DD9">
            <w:pPr>
              <w:jc w:val="both"/>
              <w:rPr>
                <w:rFonts w:ascii="Times New Roman" w:hAnsi="Times New Roman" w:cs="Times New Roman"/>
                <w:sz w:val="24"/>
                <w:szCs w:val="24"/>
              </w:rPr>
            </w:pPr>
          </w:p>
        </w:tc>
        <w:tc>
          <w:tcPr>
            <w:tcW w:w="4788" w:type="dxa"/>
          </w:tcPr>
          <w:p w:rsidR="00A908F3" w:rsidRPr="00A336F7" w:rsidRDefault="00A908F3" w:rsidP="00990DD9">
            <w:pPr>
              <w:jc w:val="both"/>
              <w:rPr>
                <w:rFonts w:ascii="Times New Roman" w:hAnsi="Times New Roman" w:cs="Times New Roman"/>
                <w:b/>
                <w:sz w:val="24"/>
                <w:szCs w:val="24"/>
              </w:rPr>
            </w:pPr>
            <w:r w:rsidRPr="00A336F7">
              <w:rPr>
                <w:rFonts w:ascii="Times New Roman" w:hAnsi="Times New Roman" w:cs="Times New Roman"/>
                <w:b/>
                <w:sz w:val="24"/>
                <w:szCs w:val="24"/>
              </w:rPr>
              <w:t>Draft report</w:t>
            </w:r>
          </w:p>
        </w:tc>
      </w:tr>
      <w:tr w:rsidR="00A908F3" w:rsidRPr="00875E9E" w:rsidTr="00DB3114">
        <w:tc>
          <w:tcPr>
            <w:tcW w:w="4788" w:type="dxa"/>
          </w:tcPr>
          <w:p w:rsidR="00A908F3" w:rsidRPr="00875E9E" w:rsidRDefault="00A908F3" w:rsidP="00990DD9">
            <w:pPr>
              <w:jc w:val="both"/>
              <w:rPr>
                <w:rFonts w:ascii="Times New Roman" w:hAnsi="Times New Roman" w:cs="Times New Roman"/>
                <w:b/>
                <w:sz w:val="24"/>
                <w:szCs w:val="24"/>
              </w:rPr>
            </w:pPr>
            <w:r w:rsidRPr="00875E9E">
              <w:rPr>
                <w:rFonts w:ascii="Times New Roman" w:hAnsi="Times New Roman" w:cs="Times New Roman"/>
                <w:b/>
                <w:sz w:val="24"/>
                <w:szCs w:val="24"/>
              </w:rPr>
              <w:t xml:space="preserve">Period: </w:t>
            </w:r>
            <w:r w:rsidRPr="00875E9E">
              <w:rPr>
                <w:rFonts w:ascii="Times New Roman" w:hAnsi="Times New Roman" w:cs="Times New Roman"/>
                <w:sz w:val="24"/>
                <w:szCs w:val="24"/>
              </w:rPr>
              <w:t xml:space="preserve"> JAN-MAR</w:t>
            </w:r>
            <w:r w:rsidRPr="00875E9E">
              <w:rPr>
                <w:rFonts w:ascii="Times New Roman" w:hAnsi="Times New Roman" w:cs="Times New Roman"/>
                <w:b/>
                <w:sz w:val="24"/>
                <w:szCs w:val="24"/>
              </w:rPr>
              <w:t xml:space="preserve"> </w:t>
            </w:r>
          </w:p>
        </w:tc>
        <w:tc>
          <w:tcPr>
            <w:tcW w:w="4788" w:type="dxa"/>
          </w:tcPr>
          <w:p w:rsidR="00EF4CBC" w:rsidRPr="001C6075" w:rsidRDefault="00A908F3" w:rsidP="00990DD9">
            <w:pPr>
              <w:jc w:val="both"/>
              <w:rPr>
                <w:rFonts w:ascii="Times New Roman" w:hAnsi="Times New Roman" w:cs="Times New Roman"/>
                <w:sz w:val="24"/>
                <w:szCs w:val="24"/>
                <w:lang w:val="en-CA"/>
              </w:rPr>
            </w:pPr>
            <w:r w:rsidRPr="00875E9E">
              <w:rPr>
                <w:rFonts w:ascii="Times New Roman" w:hAnsi="Times New Roman" w:cs="Times New Roman"/>
                <w:b/>
                <w:sz w:val="24"/>
                <w:szCs w:val="24"/>
              </w:rPr>
              <w:t>Management Response</w:t>
            </w:r>
            <w:r w:rsidR="008B64E8" w:rsidRPr="00875E9E">
              <w:rPr>
                <w:rFonts w:ascii="Times New Roman" w:hAnsi="Times New Roman" w:cs="Times New Roman"/>
                <w:b/>
                <w:sz w:val="24"/>
                <w:szCs w:val="24"/>
              </w:rPr>
              <w:t xml:space="preserve">: </w:t>
            </w:r>
          </w:p>
          <w:p w:rsidR="00EF4CBC" w:rsidRPr="001C6075" w:rsidRDefault="00EF4CBC" w:rsidP="00990DD9">
            <w:pPr>
              <w:jc w:val="both"/>
              <w:rPr>
                <w:rFonts w:ascii="Times New Roman" w:hAnsi="Times New Roman" w:cs="Times New Roman"/>
                <w:b/>
                <w:sz w:val="24"/>
                <w:szCs w:val="24"/>
                <w:u w:val="single"/>
                <w:lang w:val="en-CA"/>
              </w:rPr>
            </w:pPr>
            <w:r w:rsidRPr="001C6075">
              <w:rPr>
                <w:rFonts w:ascii="Times New Roman" w:hAnsi="Times New Roman" w:cs="Times New Roman"/>
                <w:sz w:val="24"/>
                <w:szCs w:val="24"/>
                <w:lang w:val="en-CA"/>
              </w:rPr>
              <w:t>Management agreed with the recommendation and provided a detailed action plan to address it.</w:t>
            </w:r>
          </w:p>
          <w:p w:rsidR="00A908F3" w:rsidRPr="00875E9E" w:rsidRDefault="00A908F3" w:rsidP="00990DD9">
            <w:pPr>
              <w:jc w:val="both"/>
              <w:rPr>
                <w:rFonts w:ascii="Times New Roman" w:hAnsi="Times New Roman" w:cs="Times New Roman"/>
                <w:b/>
                <w:sz w:val="24"/>
                <w:szCs w:val="24"/>
              </w:rPr>
            </w:pPr>
          </w:p>
        </w:tc>
      </w:tr>
      <w:tr w:rsidR="00A908F3" w:rsidRPr="00875E9E" w:rsidTr="00DB3114">
        <w:tc>
          <w:tcPr>
            <w:tcW w:w="4788" w:type="dxa"/>
          </w:tcPr>
          <w:p w:rsidR="00A908F3" w:rsidRPr="00875E9E" w:rsidRDefault="00A908F3" w:rsidP="00990DD9">
            <w:pPr>
              <w:jc w:val="both"/>
              <w:rPr>
                <w:rFonts w:ascii="Times New Roman" w:hAnsi="Times New Roman" w:cs="Times New Roman"/>
                <w:b/>
                <w:sz w:val="24"/>
                <w:szCs w:val="24"/>
              </w:rPr>
            </w:pPr>
            <w:r w:rsidRPr="00875E9E">
              <w:rPr>
                <w:rFonts w:ascii="Times New Roman" w:hAnsi="Times New Roman" w:cs="Times New Roman"/>
                <w:b/>
                <w:sz w:val="24"/>
                <w:szCs w:val="24"/>
              </w:rPr>
              <w:t xml:space="preserve">Audit Rating: </w:t>
            </w:r>
            <w:r w:rsidRPr="00875E9E">
              <w:rPr>
                <w:rFonts w:ascii="Times New Roman" w:hAnsi="Times New Roman" w:cs="Times New Roman"/>
                <w:sz w:val="24"/>
                <w:szCs w:val="24"/>
              </w:rPr>
              <w:t>50%</w:t>
            </w:r>
            <w:r w:rsidRPr="00875E9E">
              <w:rPr>
                <w:rFonts w:ascii="Times New Roman" w:hAnsi="Times New Roman" w:cs="Times New Roman"/>
                <w:b/>
                <w:sz w:val="24"/>
                <w:szCs w:val="24"/>
              </w:rPr>
              <w:t xml:space="preserve"> </w:t>
            </w:r>
          </w:p>
        </w:tc>
        <w:tc>
          <w:tcPr>
            <w:tcW w:w="4788" w:type="dxa"/>
          </w:tcPr>
          <w:p w:rsidR="00A908F3" w:rsidRPr="00875E9E" w:rsidRDefault="00A908F3" w:rsidP="00990DD9">
            <w:pPr>
              <w:jc w:val="both"/>
              <w:rPr>
                <w:rFonts w:ascii="Times New Roman" w:hAnsi="Times New Roman" w:cs="Times New Roman"/>
                <w:sz w:val="24"/>
                <w:szCs w:val="24"/>
              </w:rPr>
            </w:pPr>
            <w:r w:rsidRPr="00875E9E">
              <w:rPr>
                <w:rFonts w:ascii="Times New Roman" w:hAnsi="Times New Roman" w:cs="Times New Roman"/>
                <w:b/>
                <w:sz w:val="24"/>
                <w:szCs w:val="24"/>
              </w:rPr>
              <w:t>Audit team member (s)</w:t>
            </w:r>
            <w:r w:rsidR="008B64E8" w:rsidRPr="00875E9E">
              <w:rPr>
                <w:rFonts w:ascii="Times New Roman" w:hAnsi="Times New Roman" w:cs="Times New Roman"/>
                <w:b/>
                <w:sz w:val="24"/>
                <w:szCs w:val="24"/>
              </w:rPr>
              <w:t>:</w:t>
            </w:r>
            <w:r w:rsidR="008B64E8" w:rsidRPr="00875E9E">
              <w:rPr>
                <w:rFonts w:ascii="Times New Roman" w:hAnsi="Times New Roman" w:cs="Times New Roman"/>
                <w:sz w:val="24"/>
                <w:szCs w:val="24"/>
              </w:rPr>
              <w:t xml:space="preserve"> </w:t>
            </w:r>
          </w:p>
          <w:p w:rsidR="008B64E8" w:rsidRPr="00875E9E" w:rsidRDefault="008B64E8" w:rsidP="00990DD9">
            <w:pPr>
              <w:pStyle w:val="ListParagraph"/>
              <w:numPr>
                <w:ilvl w:val="0"/>
                <w:numId w:val="1"/>
              </w:numPr>
              <w:tabs>
                <w:tab w:val="center" w:pos="2286"/>
              </w:tabs>
              <w:jc w:val="both"/>
              <w:rPr>
                <w:rFonts w:ascii="Times New Roman" w:hAnsi="Times New Roman" w:cs="Times New Roman"/>
                <w:sz w:val="24"/>
                <w:szCs w:val="24"/>
              </w:rPr>
            </w:pPr>
            <w:r w:rsidRPr="00875E9E">
              <w:rPr>
                <w:rFonts w:ascii="Times New Roman" w:hAnsi="Times New Roman" w:cs="Times New Roman"/>
                <w:sz w:val="24"/>
                <w:szCs w:val="24"/>
              </w:rPr>
              <w:t>XYZ</w:t>
            </w:r>
          </w:p>
          <w:p w:rsidR="008B64E8" w:rsidRPr="00875E9E" w:rsidRDefault="008B64E8" w:rsidP="00990DD9">
            <w:pPr>
              <w:pStyle w:val="ListParagraph"/>
              <w:numPr>
                <w:ilvl w:val="0"/>
                <w:numId w:val="1"/>
              </w:numPr>
              <w:tabs>
                <w:tab w:val="center" w:pos="2286"/>
              </w:tabs>
              <w:jc w:val="both"/>
              <w:rPr>
                <w:rFonts w:ascii="Times New Roman" w:hAnsi="Times New Roman" w:cs="Times New Roman"/>
                <w:sz w:val="24"/>
                <w:szCs w:val="24"/>
              </w:rPr>
            </w:pPr>
            <w:r w:rsidRPr="00875E9E">
              <w:rPr>
                <w:rFonts w:ascii="Times New Roman" w:hAnsi="Times New Roman" w:cs="Times New Roman"/>
                <w:sz w:val="24"/>
                <w:szCs w:val="24"/>
              </w:rPr>
              <w:t>PQR</w:t>
            </w:r>
          </w:p>
        </w:tc>
      </w:tr>
      <w:tr w:rsidR="00A908F3" w:rsidRPr="00875E9E" w:rsidTr="00DB3114">
        <w:tc>
          <w:tcPr>
            <w:tcW w:w="4788" w:type="dxa"/>
          </w:tcPr>
          <w:p w:rsidR="00A908F3" w:rsidRPr="00875E9E" w:rsidRDefault="00A908F3" w:rsidP="00990DD9">
            <w:pPr>
              <w:jc w:val="both"/>
              <w:rPr>
                <w:rFonts w:ascii="Times New Roman" w:hAnsi="Times New Roman" w:cs="Times New Roman"/>
                <w:b/>
                <w:sz w:val="24"/>
                <w:szCs w:val="24"/>
              </w:rPr>
            </w:pPr>
            <w:r w:rsidRPr="00875E9E">
              <w:rPr>
                <w:rFonts w:ascii="Times New Roman" w:hAnsi="Times New Roman" w:cs="Times New Roman"/>
                <w:b/>
                <w:sz w:val="24"/>
                <w:szCs w:val="24"/>
              </w:rPr>
              <w:t xml:space="preserve">Audit Group: </w:t>
            </w:r>
            <w:r w:rsidRPr="00875E9E">
              <w:rPr>
                <w:rFonts w:ascii="Times New Roman" w:hAnsi="Times New Roman" w:cs="Times New Roman"/>
                <w:sz w:val="24"/>
                <w:szCs w:val="24"/>
              </w:rPr>
              <w:t>KPMG</w:t>
            </w:r>
          </w:p>
        </w:tc>
        <w:tc>
          <w:tcPr>
            <w:tcW w:w="4788" w:type="dxa"/>
          </w:tcPr>
          <w:p w:rsidR="00A908F3" w:rsidRPr="00875E9E" w:rsidRDefault="00A908F3" w:rsidP="00990DD9">
            <w:pPr>
              <w:jc w:val="both"/>
              <w:rPr>
                <w:rFonts w:ascii="Times New Roman" w:hAnsi="Times New Roman" w:cs="Times New Roman"/>
                <w:b/>
                <w:sz w:val="24"/>
                <w:szCs w:val="24"/>
              </w:rPr>
            </w:pPr>
            <w:r w:rsidRPr="00875E9E">
              <w:rPr>
                <w:rFonts w:ascii="Times New Roman" w:hAnsi="Times New Roman" w:cs="Times New Roman"/>
                <w:b/>
                <w:sz w:val="24"/>
                <w:szCs w:val="24"/>
              </w:rPr>
              <w:t>Report Reference</w:t>
            </w:r>
          </w:p>
        </w:tc>
      </w:tr>
      <w:tr w:rsidR="00A908F3" w:rsidRPr="00875E9E" w:rsidTr="00DB3114">
        <w:trPr>
          <w:trHeight w:val="332"/>
        </w:trPr>
        <w:tc>
          <w:tcPr>
            <w:tcW w:w="4788" w:type="dxa"/>
          </w:tcPr>
          <w:p w:rsidR="00A908F3" w:rsidRPr="00875E9E" w:rsidRDefault="00A908F3" w:rsidP="00990DD9">
            <w:pPr>
              <w:jc w:val="both"/>
              <w:rPr>
                <w:rFonts w:ascii="Times New Roman" w:hAnsi="Times New Roman" w:cs="Times New Roman"/>
                <w:sz w:val="24"/>
                <w:szCs w:val="24"/>
              </w:rPr>
            </w:pPr>
            <w:r w:rsidRPr="00875E9E">
              <w:rPr>
                <w:rFonts w:ascii="Times New Roman" w:hAnsi="Times New Roman" w:cs="Times New Roman"/>
                <w:b/>
                <w:sz w:val="24"/>
                <w:szCs w:val="24"/>
              </w:rPr>
              <w:t xml:space="preserve">Audit Start Date: </w:t>
            </w:r>
            <w:r w:rsidR="00BE5E66" w:rsidRPr="00875E9E">
              <w:rPr>
                <w:rFonts w:ascii="Times New Roman" w:hAnsi="Times New Roman" w:cs="Times New Roman"/>
                <w:sz w:val="24"/>
                <w:szCs w:val="24"/>
              </w:rPr>
              <w:t xml:space="preserve">1 January </w:t>
            </w:r>
            <w:r w:rsidRPr="00875E9E">
              <w:rPr>
                <w:rFonts w:ascii="Times New Roman" w:hAnsi="Times New Roman" w:cs="Times New Roman"/>
                <w:sz w:val="24"/>
                <w:szCs w:val="24"/>
              </w:rPr>
              <w:t>20</w:t>
            </w:r>
            <w:r w:rsidR="00BE5E66" w:rsidRPr="00875E9E">
              <w:rPr>
                <w:rFonts w:ascii="Times New Roman" w:hAnsi="Times New Roman" w:cs="Times New Roman"/>
                <w:sz w:val="24"/>
                <w:szCs w:val="24"/>
              </w:rPr>
              <w:t>19</w:t>
            </w:r>
          </w:p>
        </w:tc>
        <w:tc>
          <w:tcPr>
            <w:tcW w:w="4788" w:type="dxa"/>
          </w:tcPr>
          <w:p w:rsidR="00A908F3" w:rsidRPr="00875E9E" w:rsidRDefault="00A908F3" w:rsidP="00990DD9">
            <w:pPr>
              <w:tabs>
                <w:tab w:val="center" w:pos="2286"/>
              </w:tabs>
              <w:jc w:val="both"/>
              <w:rPr>
                <w:rFonts w:ascii="Times New Roman" w:hAnsi="Times New Roman" w:cs="Times New Roman"/>
                <w:b/>
                <w:sz w:val="24"/>
                <w:szCs w:val="24"/>
              </w:rPr>
            </w:pPr>
            <w:r w:rsidRPr="00875E9E">
              <w:rPr>
                <w:rFonts w:ascii="Times New Roman" w:hAnsi="Times New Roman" w:cs="Times New Roman"/>
                <w:b/>
                <w:sz w:val="24"/>
                <w:szCs w:val="24"/>
              </w:rPr>
              <w:t>Audit End Date</w:t>
            </w:r>
            <w:r w:rsidR="008B64E8" w:rsidRPr="00875E9E">
              <w:rPr>
                <w:rFonts w:ascii="Times New Roman" w:hAnsi="Times New Roman" w:cs="Times New Roman"/>
                <w:b/>
                <w:sz w:val="24"/>
                <w:szCs w:val="24"/>
              </w:rPr>
              <w:t xml:space="preserve">: </w:t>
            </w:r>
            <w:r w:rsidR="008B64E8" w:rsidRPr="00875E9E">
              <w:rPr>
                <w:rFonts w:ascii="Times New Roman" w:hAnsi="Times New Roman" w:cs="Times New Roman"/>
                <w:sz w:val="24"/>
                <w:szCs w:val="24"/>
              </w:rPr>
              <w:t>31March 2019</w:t>
            </w:r>
            <w:r w:rsidRPr="00875E9E">
              <w:rPr>
                <w:rFonts w:ascii="Times New Roman" w:hAnsi="Times New Roman" w:cs="Times New Roman"/>
                <w:b/>
                <w:sz w:val="24"/>
                <w:szCs w:val="24"/>
              </w:rPr>
              <w:tab/>
            </w:r>
          </w:p>
        </w:tc>
      </w:tr>
      <w:tr w:rsidR="00A908F3" w:rsidRPr="00875E9E" w:rsidTr="00DB3114">
        <w:tc>
          <w:tcPr>
            <w:tcW w:w="4788" w:type="dxa"/>
          </w:tcPr>
          <w:p w:rsidR="00A908F3" w:rsidRPr="00875E9E" w:rsidRDefault="00A908F3" w:rsidP="00990DD9">
            <w:pPr>
              <w:jc w:val="both"/>
              <w:rPr>
                <w:rFonts w:ascii="Times New Roman" w:hAnsi="Times New Roman" w:cs="Times New Roman"/>
                <w:b/>
                <w:sz w:val="24"/>
                <w:szCs w:val="24"/>
              </w:rPr>
            </w:pPr>
            <w:r w:rsidRPr="00875E9E">
              <w:rPr>
                <w:rFonts w:ascii="Times New Roman" w:hAnsi="Times New Roman" w:cs="Times New Roman"/>
                <w:b/>
                <w:bCs/>
                <w:sz w:val="24"/>
                <w:szCs w:val="24"/>
                <w:shd w:val="clear" w:color="auto" w:fill="FFFFFF"/>
              </w:rPr>
              <w:t>Audit Scheduling:</w:t>
            </w:r>
          </w:p>
        </w:tc>
        <w:tc>
          <w:tcPr>
            <w:tcW w:w="4788" w:type="dxa"/>
          </w:tcPr>
          <w:p w:rsidR="00A908F3" w:rsidRPr="00875E9E" w:rsidRDefault="00A908F3" w:rsidP="00990DD9">
            <w:pPr>
              <w:tabs>
                <w:tab w:val="center" w:pos="2286"/>
              </w:tabs>
              <w:jc w:val="both"/>
              <w:rPr>
                <w:rFonts w:ascii="Times New Roman" w:hAnsi="Times New Roman" w:cs="Times New Roman"/>
                <w:b/>
                <w:sz w:val="24"/>
                <w:szCs w:val="24"/>
              </w:rPr>
            </w:pPr>
            <w:r w:rsidRPr="00875E9E">
              <w:rPr>
                <w:rFonts w:ascii="Times New Roman" w:hAnsi="Times New Roman" w:cs="Times New Roman"/>
                <w:b/>
                <w:bCs/>
                <w:sz w:val="24"/>
                <w:szCs w:val="24"/>
                <w:shd w:val="clear" w:color="auto" w:fill="FFFFFF"/>
              </w:rPr>
              <w:t>Financial Year</w:t>
            </w:r>
            <w:r w:rsidR="00BE5E66" w:rsidRPr="00875E9E">
              <w:rPr>
                <w:rFonts w:ascii="Times New Roman" w:hAnsi="Times New Roman" w:cs="Times New Roman"/>
                <w:b/>
                <w:bCs/>
                <w:sz w:val="24"/>
                <w:szCs w:val="24"/>
                <w:shd w:val="clear" w:color="auto" w:fill="FFFFFF"/>
              </w:rPr>
              <w:t xml:space="preserve">: </w:t>
            </w:r>
            <w:r w:rsidR="00BE5E66" w:rsidRPr="00875E9E">
              <w:rPr>
                <w:rFonts w:ascii="Times New Roman" w:hAnsi="Times New Roman" w:cs="Times New Roman"/>
                <w:bCs/>
                <w:sz w:val="24"/>
                <w:szCs w:val="24"/>
                <w:shd w:val="clear" w:color="auto" w:fill="FFFFFF"/>
              </w:rPr>
              <w:t>2019</w:t>
            </w:r>
            <w:r w:rsidR="00D82107">
              <w:rPr>
                <w:rFonts w:ascii="Times New Roman" w:hAnsi="Times New Roman" w:cs="Times New Roman"/>
                <w:bCs/>
                <w:sz w:val="24"/>
                <w:szCs w:val="24"/>
                <w:shd w:val="clear" w:color="auto" w:fill="FFFFFF"/>
              </w:rPr>
              <w:t>-2020</w:t>
            </w:r>
          </w:p>
        </w:tc>
      </w:tr>
    </w:tbl>
    <w:p w:rsidR="005B3AE4" w:rsidRPr="00875E9E" w:rsidRDefault="005B3AE4" w:rsidP="00990DD9">
      <w:pPr>
        <w:spacing w:after="0" w:line="240" w:lineRule="auto"/>
        <w:jc w:val="both"/>
        <w:rPr>
          <w:rFonts w:ascii="Times New Roman" w:hAnsi="Times New Roman" w:cs="Times New Roman"/>
          <w:sz w:val="24"/>
          <w:szCs w:val="24"/>
        </w:rPr>
      </w:pPr>
    </w:p>
    <w:p w:rsidR="005B3AE4" w:rsidRPr="00875E9E" w:rsidRDefault="005B3AE4" w:rsidP="00990DD9">
      <w:pPr>
        <w:spacing w:after="0" w:line="240" w:lineRule="auto"/>
        <w:jc w:val="both"/>
        <w:rPr>
          <w:rFonts w:ascii="Times New Roman" w:hAnsi="Times New Roman" w:cs="Times New Roman"/>
          <w:sz w:val="24"/>
          <w:szCs w:val="24"/>
        </w:rPr>
      </w:pPr>
    </w:p>
    <w:p w:rsidR="001B0B0E" w:rsidRPr="00875E9E" w:rsidRDefault="001B0B0E" w:rsidP="00990DD9">
      <w:pPr>
        <w:spacing w:after="0" w:line="240" w:lineRule="auto"/>
        <w:jc w:val="both"/>
        <w:rPr>
          <w:rFonts w:ascii="Times New Roman" w:hAnsi="Times New Roman" w:cs="Times New Roman"/>
          <w:sz w:val="24"/>
          <w:szCs w:val="24"/>
        </w:rPr>
      </w:pPr>
    </w:p>
    <w:p w:rsidR="001B0B0E" w:rsidRPr="00875E9E" w:rsidRDefault="001B0B0E" w:rsidP="00990DD9">
      <w:pPr>
        <w:spacing w:after="0" w:line="240" w:lineRule="auto"/>
        <w:jc w:val="both"/>
        <w:rPr>
          <w:rFonts w:ascii="Times New Roman" w:hAnsi="Times New Roman" w:cs="Times New Roman"/>
          <w:sz w:val="24"/>
          <w:szCs w:val="24"/>
        </w:rPr>
      </w:pPr>
    </w:p>
    <w:p w:rsidR="001B0B0E" w:rsidRPr="00875E9E" w:rsidRDefault="001B0B0E" w:rsidP="00990DD9">
      <w:pPr>
        <w:spacing w:after="0" w:line="240" w:lineRule="auto"/>
        <w:jc w:val="both"/>
        <w:rPr>
          <w:rFonts w:ascii="Times New Roman" w:hAnsi="Times New Roman" w:cs="Times New Roman"/>
          <w:sz w:val="24"/>
          <w:szCs w:val="24"/>
        </w:rPr>
      </w:pPr>
    </w:p>
    <w:p w:rsidR="007F318D" w:rsidRPr="00875E9E" w:rsidRDefault="007F318D" w:rsidP="00990DD9">
      <w:pPr>
        <w:spacing w:after="0" w:line="240" w:lineRule="auto"/>
        <w:jc w:val="both"/>
        <w:rPr>
          <w:rFonts w:ascii="Times New Roman" w:hAnsi="Times New Roman" w:cs="Times New Roman"/>
          <w:sz w:val="24"/>
          <w:szCs w:val="24"/>
        </w:rPr>
      </w:pPr>
    </w:p>
    <w:p w:rsidR="007B023B" w:rsidRPr="00875E9E" w:rsidRDefault="007B023B"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8C52C7" w:rsidRPr="00875E9E" w:rsidRDefault="008C52C7" w:rsidP="00990DD9">
      <w:pPr>
        <w:spacing w:after="0" w:line="240" w:lineRule="auto"/>
        <w:jc w:val="both"/>
        <w:rPr>
          <w:rFonts w:ascii="Times New Roman" w:hAnsi="Times New Roman" w:cs="Times New Roman"/>
          <w:sz w:val="24"/>
          <w:szCs w:val="24"/>
        </w:rPr>
        <w:sectPr w:rsidR="008C52C7" w:rsidRPr="00875E9E" w:rsidSect="00A87B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7F318D" w:rsidRPr="00875E9E" w:rsidRDefault="007F318D"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lastRenderedPageBreak/>
        <w:t>List of Content</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Background</w:t>
      </w:r>
      <w:r w:rsidR="00922275">
        <w:rPr>
          <w:rFonts w:ascii="Times New Roman" w:hAnsi="Times New Roman" w:cs="Times New Roman"/>
          <w:sz w:val="24"/>
          <w:szCs w:val="24"/>
        </w:rPr>
        <w:t xml:space="preserve">         </w:t>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r w:rsidR="004A4003" w:rsidRPr="00875E9E">
        <w:rPr>
          <w:rFonts w:ascii="Times New Roman" w:hAnsi="Times New Roman" w:cs="Times New Roman"/>
          <w:sz w:val="24"/>
          <w:szCs w:val="24"/>
        </w:rPr>
        <w:tab/>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Audit scope &amp; objective</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Detailed Findings / Issues/ Findings</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Purpose/ Rationale of the Audit</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Executive Summary</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Summary of Issues</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Project Milestones</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Total</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Closed</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Closure Status</w:t>
      </w:r>
    </w:p>
    <w:p w:rsidR="00A2630E" w:rsidRPr="00875E9E" w:rsidRDefault="00A2630E" w:rsidP="00990DD9">
      <w:pPr>
        <w:pStyle w:val="ListParagraph"/>
        <w:numPr>
          <w:ilvl w:val="0"/>
          <w:numId w:val="2"/>
        </w:numPr>
        <w:spacing w:after="0" w:line="240" w:lineRule="auto"/>
        <w:jc w:val="both"/>
        <w:rPr>
          <w:rFonts w:ascii="Times New Roman" w:hAnsi="Times New Roman" w:cs="Times New Roman"/>
          <w:sz w:val="24"/>
          <w:szCs w:val="24"/>
        </w:rPr>
      </w:pPr>
      <w:r w:rsidRPr="00875E9E">
        <w:rPr>
          <w:rFonts w:ascii="Times New Roman" w:hAnsi="Times New Roman" w:cs="Times New Roman"/>
          <w:sz w:val="24"/>
          <w:szCs w:val="24"/>
        </w:rPr>
        <w:t>Vertical</w:t>
      </w:r>
    </w:p>
    <w:p w:rsidR="007F318D" w:rsidRPr="00875E9E" w:rsidRDefault="007F318D"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E75311" w:rsidRPr="00875E9E" w:rsidRDefault="00E75311" w:rsidP="00990DD9">
      <w:pPr>
        <w:spacing w:after="0" w:line="240" w:lineRule="auto"/>
        <w:jc w:val="both"/>
        <w:rPr>
          <w:rFonts w:ascii="Times New Roman" w:hAnsi="Times New Roman" w:cs="Times New Roman"/>
          <w:sz w:val="24"/>
          <w:szCs w:val="24"/>
        </w:rPr>
      </w:pPr>
    </w:p>
    <w:p w:rsidR="0040434E" w:rsidRPr="00875E9E" w:rsidRDefault="0040434E" w:rsidP="00990DD9">
      <w:pPr>
        <w:spacing w:after="0" w:line="240" w:lineRule="auto"/>
        <w:jc w:val="both"/>
        <w:rPr>
          <w:rFonts w:ascii="Times New Roman" w:hAnsi="Times New Roman" w:cs="Times New Roman"/>
          <w:sz w:val="24"/>
          <w:szCs w:val="24"/>
        </w:rPr>
      </w:pPr>
    </w:p>
    <w:p w:rsidR="0040434E" w:rsidRPr="00875E9E" w:rsidRDefault="0040434E"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D17959" w:rsidRPr="00875E9E" w:rsidRDefault="00D17959" w:rsidP="00990DD9">
      <w:pPr>
        <w:spacing w:after="0" w:line="240" w:lineRule="auto"/>
        <w:jc w:val="both"/>
        <w:rPr>
          <w:rFonts w:ascii="Times New Roman" w:hAnsi="Times New Roman" w:cs="Times New Roman"/>
          <w:sz w:val="24"/>
          <w:szCs w:val="24"/>
        </w:rPr>
      </w:pPr>
    </w:p>
    <w:p w:rsidR="00B96ED4" w:rsidRPr="00875E9E" w:rsidRDefault="009B074F" w:rsidP="00990DD9">
      <w:pPr>
        <w:pStyle w:val="BodyText"/>
        <w:numPr>
          <w:ilvl w:val="0"/>
          <w:numId w:val="5"/>
        </w:numPr>
        <w:spacing w:before="0" w:after="0" w:line="240" w:lineRule="auto"/>
        <w:jc w:val="both"/>
        <w:rPr>
          <w:b/>
          <w:sz w:val="24"/>
          <w:szCs w:val="24"/>
        </w:rPr>
      </w:pPr>
      <w:r w:rsidRPr="00875E9E">
        <w:rPr>
          <w:b/>
          <w:sz w:val="24"/>
          <w:szCs w:val="24"/>
        </w:rPr>
        <w:lastRenderedPageBreak/>
        <w:t>Background</w:t>
      </w:r>
    </w:p>
    <w:p w:rsidR="00023081" w:rsidRPr="00875E9E" w:rsidRDefault="00023081" w:rsidP="00990DD9">
      <w:pPr>
        <w:pStyle w:val="BodyText"/>
        <w:spacing w:before="0" w:after="0" w:line="240" w:lineRule="auto"/>
        <w:ind w:left="360"/>
        <w:jc w:val="both"/>
        <w:rPr>
          <w:b/>
          <w:sz w:val="24"/>
          <w:szCs w:val="24"/>
        </w:rPr>
      </w:pPr>
    </w:p>
    <w:p w:rsidR="00B96ED4" w:rsidRPr="00875E9E" w:rsidRDefault="00B96ED4" w:rsidP="00990DD9">
      <w:pPr>
        <w:pStyle w:val="BodyText"/>
        <w:spacing w:before="0" w:after="0" w:line="240" w:lineRule="auto"/>
        <w:ind w:left="720" w:hanging="720"/>
        <w:jc w:val="both"/>
        <w:rPr>
          <w:sz w:val="24"/>
          <w:szCs w:val="24"/>
        </w:rPr>
      </w:pPr>
      <w:r w:rsidRPr="00875E9E">
        <w:rPr>
          <w:b/>
          <w:sz w:val="24"/>
          <w:szCs w:val="24"/>
          <w:lang w:val="en-GB"/>
        </w:rPr>
        <w:t>1.1</w:t>
      </w:r>
      <w:r w:rsidRPr="00875E9E">
        <w:rPr>
          <w:b/>
          <w:sz w:val="24"/>
          <w:szCs w:val="24"/>
          <w:lang w:val="en-GB"/>
        </w:rPr>
        <w:tab/>
        <w:t>Company Overview</w:t>
      </w:r>
    </w:p>
    <w:p w:rsidR="00B96ED4" w:rsidRPr="00875E9E" w:rsidRDefault="00B96ED4" w:rsidP="00990DD9">
      <w:pPr>
        <w:pStyle w:val="BodyText"/>
        <w:numPr>
          <w:ilvl w:val="0"/>
          <w:numId w:val="22"/>
        </w:numPr>
        <w:spacing w:before="0" w:after="0" w:line="240" w:lineRule="auto"/>
        <w:jc w:val="both"/>
        <w:rPr>
          <w:sz w:val="24"/>
          <w:szCs w:val="24"/>
        </w:rPr>
      </w:pPr>
      <w:r w:rsidRPr="00875E9E">
        <w:rPr>
          <w:sz w:val="24"/>
          <w:szCs w:val="24"/>
        </w:rPr>
        <w:t xml:space="preserve">ABC Limited (‘ABCL’ or ‘the Company’) is a subsidiary of ABC Asia Pacific Holding LLC which in turn is a subsidiary of ABC Corp, US.  </w:t>
      </w:r>
    </w:p>
    <w:p w:rsidR="00A12081" w:rsidRPr="00875E9E" w:rsidRDefault="00B96ED4" w:rsidP="00990DD9">
      <w:pPr>
        <w:pStyle w:val="BodyText"/>
        <w:numPr>
          <w:ilvl w:val="0"/>
          <w:numId w:val="22"/>
        </w:numPr>
        <w:spacing w:before="0" w:after="0" w:line="240" w:lineRule="auto"/>
        <w:jc w:val="both"/>
        <w:rPr>
          <w:sz w:val="24"/>
          <w:szCs w:val="24"/>
        </w:rPr>
      </w:pPr>
      <w:r w:rsidRPr="00875E9E">
        <w:rPr>
          <w:sz w:val="24"/>
          <w:szCs w:val="24"/>
        </w:rPr>
        <w:t xml:space="preserve">ABCL was set up in 1994 and is engaged in the assembly, marketing and sale of motor vehicles and sale of parts and accessories.  </w:t>
      </w:r>
    </w:p>
    <w:p w:rsidR="00B96ED4" w:rsidRPr="00875E9E" w:rsidRDefault="00B96ED4" w:rsidP="00990DD9">
      <w:pPr>
        <w:pStyle w:val="BodyText"/>
        <w:numPr>
          <w:ilvl w:val="0"/>
          <w:numId w:val="22"/>
        </w:numPr>
        <w:spacing w:before="0" w:after="0" w:line="240" w:lineRule="auto"/>
        <w:jc w:val="both"/>
        <w:rPr>
          <w:sz w:val="24"/>
          <w:szCs w:val="24"/>
        </w:rPr>
      </w:pPr>
      <w:r w:rsidRPr="00875E9E">
        <w:rPr>
          <w:sz w:val="24"/>
          <w:szCs w:val="24"/>
        </w:rPr>
        <w:t xml:space="preserve">The Company has a production facility situated at Halol, Gujarat and is currently in process of setting up a plant at Talegaon at an approximate cost of Rs 3,500 crores.  </w:t>
      </w:r>
    </w:p>
    <w:p w:rsidR="00B96ED4" w:rsidRPr="00875E9E" w:rsidRDefault="00B96ED4" w:rsidP="00990DD9">
      <w:pPr>
        <w:pStyle w:val="BodyText"/>
        <w:spacing w:before="0" w:after="0" w:line="240" w:lineRule="auto"/>
        <w:jc w:val="both"/>
        <w:rPr>
          <w:b/>
          <w:sz w:val="24"/>
          <w:szCs w:val="24"/>
        </w:rPr>
      </w:pPr>
    </w:p>
    <w:p w:rsidR="00B96ED4" w:rsidRPr="00875E9E" w:rsidRDefault="00B96ED4" w:rsidP="00990DD9">
      <w:pPr>
        <w:pStyle w:val="BodyText"/>
        <w:spacing w:before="0" w:after="0" w:line="240" w:lineRule="auto"/>
        <w:ind w:left="720" w:hanging="720"/>
        <w:jc w:val="both"/>
        <w:rPr>
          <w:sz w:val="24"/>
          <w:szCs w:val="24"/>
        </w:rPr>
      </w:pPr>
      <w:r w:rsidRPr="00875E9E">
        <w:rPr>
          <w:b/>
          <w:sz w:val="24"/>
          <w:szCs w:val="24"/>
          <w:lang w:val="en-GB"/>
        </w:rPr>
        <w:t>1.2</w:t>
      </w:r>
      <w:r w:rsidRPr="00875E9E">
        <w:rPr>
          <w:b/>
          <w:sz w:val="24"/>
          <w:szCs w:val="24"/>
          <w:lang w:val="en-GB"/>
        </w:rPr>
        <w:tab/>
        <w:t>Technical Centre Overview</w:t>
      </w:r>
    </w:p>
    <w:p w:rsidR="00B96ED4" w:rsidRPr="00875E9E" w:rsidRDefault="00B96ED4" w:rsidP="00990DD9">
      <w:pPr>
        <w:pStyle w:val="BodyText"/>
        <w:numPr>
          <w:ilvl w:val="0"/>
          <w:numId w:val="23"/>
        </w:numPr>
        <w:spacing w:before="0" w:after="0" w:line="240" w:lineRule="auto"/>
        <w:jc w:val="both"/>
        <w:rPr>
          <w:sz w:val="24"/>
          <w:szCs w:val="24"/>
        </w:rPr>
      </w:pPr>
      <w:r w:rsidRPr="00875E9E">
        <w:rPr>
          <w:sz w:val="24"/>
          <w:szCs w:val="24"/>
        </w:rPr>
        <w:t>ABC Technical Centre India (ABCTC) is a part of ABC Limited (ABCL).</w:t>
      </w:r>
    </w:p>
    <w:p w:rsidR="00B96ED4" w:rsidRPr="00875E9E" w:rsidRDefault="00B96ED4" w:rsidP="00990DD9">
      <w:pPr>
        <w:pStyle w:val="BodyText"/>
        <w:numPr>
          <w:ilvl w:val="0"/>
          <w:numId w:val="23"/>
        </w:numPr>
        <w:spacing w:before="0" w:after="0" w:line="240" w:lineRule="auto"/>
        <w:jc w:val="both"/>
        <w:rPr>
          <w:sz w:val="24"/>
          <w:szCs w:val="24"/>
        </w:rPr>
      </w:pPr>
      <w:r w:rsidRPr="00875E9E">
        <w:rPr>
          <w:sz w:val="24"/>
          <w:szCs w:val="24"/>
        </w:rPr>
        <w:t>ABCTC is located in International Tech Park, Bangalore and occupies a  total area of 113,900 sq. ft. across 2 buildings in the Park</w:t>
      </w:r>
    </w:p>
    <w:p w:rsidR="00B96ED4" w:rsidRPr="00875E9E" w:rsidRDefault="00B96ED4" w:rsidP="00990DD9">
      <w:pPr>
        <w:pStyle w:val="BodyText"/>
        <w:numPr>
          <w:ilvl w:val="0"/>
          <w:numId w:val="23"/>
        </w:numPr>
        <w:spacing w:before="0" w:after="0" w:line="240" w:lineRule="auto"/>
        <w:jc w:val="both"/>
        <w:rPr>
          <w:sz w:val="24"/>
          <w:szCs w:val="24"/>
        </w:rPr>
      </w:pPr>
      <w:r w:rsidRPr="00875E9E">
        <w:rPr>
          <w:sz w:val="24"/>
          <w:szCs w:val="24"/>
        </w:rPr>
        <w:t>Total expenditure of the Tech Centre for 2019-20 approx. USD 19.50 million</w:t>
      </w:r>
    </w:p>
    <w:p w:rsidR="00B96ED4" w:rsidRPr="00875E9E" w:rsidRDefault="00B96ED4" w:rsidP="00990DD9">
      <w:pPr>
        <w:pStyle w:val="BodyText"/>
        <w:numPr>
          <w:ilvl w:val="0"/>
          <w:numId w:val="23"/>
        </w:numPr>
        <w:spacing w:before="0" w:after="0" w:line="240" w:lineRule="auto"/>
        <w:jc w:val="both"/>
        <w:rPr>
          <w:b/>
          <w:sz w:val="24"/>
          <w:szCs w:val="24"/>
        </w:rPr>
      </w:pPr>
      <w:r w:rsidRPr="00875E9E">
        <w:rPr>
          <w:sz w:val="24"/>
          <w:szCs w:val="24"/>
        </w:rPr>
        <w:t xml:space="preserve">ABCTC currently employs approx. 700 employees (full time, contractual and supplier employees).  </w:t>
      </w:r>
    </w:p>
    <w:p w:rsidR="00D17959" w:rsidRPr="00875E9E" w:rsidRDefault="00D17959" w:rsidP="00990DD9">
      <w:pPr>
        <w:pStyle w:val="ListParagraph"/>
        <w:spacing w:after="0" w:line="240" w:lineRule="auto"/>
        <w:ind w:left="360"/>
        <w:jc w:val="both"/>
        <w:rPr>
          <w:rFonts w:ascii="Times New Roman" w:hAnsi="Times New Roman" w:cs="Times New Roman"/>
          <w:sz w:val="24"/>
          <w:szCs w:val="24"/>
        </w:rPr>
      </w:pPr>
    </w:p>
    <w:p w:rsidR="00FF04A5" w:rsidRPr="00875E9E" w:rsidRDefault="00FF04A5"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Audit scope &amp; objective</w:t>
      </w:r>
    </w:p>
    <w:p w:rsidR="00F643B0" w:rsidRPr="00875E9E" w:rsidRDefault="003471BA" w:rsidP="00990DD9">
      <w:pPr>
        <w:pStyle w:val="NormalWeb"/>
        <w:spacing w:after="0"/>
        <w:jc w:val="both"/>
        <w:rPr>
          <w:lang w:val="en-CA"/>
        </w:rPr>
      </w:pPr>
      <w:r w:rsidRPr="00875E9E">
        <w:rPr>
          <w:lang w:val="en-CA"/>
        </w:rPr>
        <w:t xml:space="preserve">The purpose of this audit was to ensure that Environment Canada’s accounts receivable are managed fairly, efficiently and effectively to recover such receivables and minimize the risk of loss. </w:t>
      </w:r>
    </w:p>
    <w:p w:rsidR="003471BA" w:rsidRPr="00875E9E" w:rsidRDefault="003471BA" w:rsidP="00990DD9">
      <w:pPr>
        <w:pStyle w:val="NormalWeb"/>
        <w:spacing w:after="0"/>
        <w:jc w:val="both"/>
        <w:rPr>
          <w:lang w:val="en-CA"/>
        </w:rPr>
      </w:pPr>
      <w:r w:rsidRPr="00875E9E">
        <w:rPr>
          <w:lang w:val="en-CA"/>
        </w:rPr>
        <w:t>The audit objectives were to assess:</w:t>
      </w:r>
    </w:p>
    <w:p w:rsidR="003471BA" w:rsidRPr="00875E9E" w:rsidRDefault="00473497" w:rsidP="00990DD9">
      <w:pPr>
        <w:pStyle w:val="NormalWeb"/>
        <w:numPr>
          <w:ilvl w:val="0"/>
          <w:numId w:val="24"/>
        </w:numPr>
        <w:spacing w:after="0"/>
        <w:jc w:val="both"/>
        <w:rPr>
          <w:lang w:val="en-CA"/>
        </w:rPr>
      </w:pPr>
      <w:r w:rsidRPr="00875E9E">
        <w:rPr>
          <w:lang w:val="en-CA"/>
        </w:rPr>
        <w:t>W</w:t>
      </w:r>
      <w:r w:rsidR="003471BA" w:rsidRPr="00875E9E">
        <w:rPr>
          <w:lang w:val="en-CA"/>
        </w:rPr>
        <w:t>hether the framework of controls for the management of accounts receivable is appropriate; and</w:t>
      </w:r>
    </w:p>
    <w:p w:rsidR="003471BA" w:rsidRPr="00875E9E" w:rsidRDefault="00473497" w:rsidP="00990DD9">
      <w:pPr>
        <w:pStyle w:val="NormalWeb"/>
        <w:numPr>
          <w:ilvl w:val="0"/>
          <w:numId w:val="24"/>
        </w:numPr>
        <w:spacing w:after="0"/>
        <w:jc w:val="both"/>
        <w:rPr>
          <w:lang w:val="en-CA"/>
        </w:rPr>
      </w:pPr>
      <w:r w:rsidRPr="00875E9E">
        <w:rPr>
          <w:lang w:val="en-CA"/>
        </w:rPr>
        <w:t>T</w:t>
      </w:r>
      <w:r w:rsidR="003471BA" w:rsidRPr="00875E9E">
        <w:rPr>
          <w:lang w:val="en-CA"/>
        </w:rPr>
        <w:t>he degree of the Department’s compliance with the applicable accounting regulations, policies and standards.</w:t>
      </w:r>
    </w:p>
    <w:p w:rsidR="003471BA" w:rsidRPr="00875E9E" w:rsidRDefault="003471BA" w:rsidP="00990DD9">
      <w:pPr>
        <w:pStyle w:val="NormalWe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jc w:val="both"/>
        <w:rPr>
          <w:lang w:val="en-CA"/>
        </w:rPr>
      </w:pPr>
    </w:p>
    <w:p w:rsidR="003471BA" w:rsidRPr="00875E9E" w:rsidRDefault="003471BA" w:rsidP="00990DD9">
      <w:pPr>
        <w:pStyle w:val="NormalWe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after="0"/>
        <w:jc w:val="both"/>
        <w:rPr>
          <w:lang w:val="en-CA"/>
        </w:rPr>
      </w:pPr>
      <w:r w:rsidRPr="00875E9E">
        <w:rPr>
          <w:lang w:val="en-CA"/>
        </w:rPr>
        <w:t xml:space="preserve">The audit dealt with internal accounts receivable (with other federal departments and organizations) and external accounts receivable created during the 2007–2008 fiscal year and with accounts receivable as at April 1, 2008. Other analyses were carried out on subsequent dates for specific requirements, as certain reports could not be produced retroactively. </w:t>
      </w:r>
    </w:p>
    <w:p w:rsidR="00DD36C1" w:rsidRPr="00875E9E" w:rsidRDefault="00DD36C1" w:rsidP="00990DD9">
      <w:pPr>
        <w:pStyle w:val="ListParagraph"/>
        <w:spacing w:after="0" w:line="240" w:lineRule="auto"/>
        <w:ind w:left="360"/>
        <w:jc w:val="both"/>
        <w:rPr>
          <w:rFonts w:ascii="Times New Roman" w:hAnsi="Times New Roman" w:cs="Times New Roman"/>
          <w:b/>
          <w:sz w:val="24"/>
          <w:szCs w:val="24"/>
        </w:rPr>
      </w:pPr>
    </w:p>
    <w:p w:rsidR="00DD36C1" w:rsidRPr="00875E9E" w:rsidRDefault="00DD36C1" w:rsidP="00990DD9">
      <w:pPr>
        <w:pStyle w:val="ListParagraph"/>
        <w:spacing w:after="0" w:line="240" w:lineRule="auto"/>
        <w:ind w:left="360"/>
        <w:jc w:val="both"/>
        <w:rPr>
          <w:rFonts w:ascii="Times New Roman" w:hAnsi="Times New Roman" w:cs="Times New Roman"/>
          <w:b/>
          <w:sz w:val="24"/>
          <w:szCs w:val="24"/>
        </w:rPr>
      </w:pPr>
    </w:p>
    <w:p w:rsidR="002F69F9" w:rsidRPr="00875E9E" w:rsidRDefault="002F69F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Detailed Findings / Issues/ Findings</w:t>
      </w:r>
    </w:p>
    <w:p w:rsidR="00E23D0B" w:rsidRPr="00875E9E" w:rsidRDefault="00E23D0B" w:rsidP="00990DD9">
      <w:pPr>
        <w:pStyle w:val="ListParagraph"/>
        <w:spacing w:after="0" w:line="240" w:lineRule="auto"/>
        <w:ind w:left="360"/>
        <w:jc w:val="both"/>
        <w:rPr>
          <w:rFonts w:ascii="Times New Roman" w:hAnsi="Times New Roman" w:cs="Times New Roman"/>
          <w:sz w:val="24"/>
          <w:szCs w:val="24"/>
        </w:rPr>
      </w:pPr>
    </w:p>
    <w:p w:rsidR="00692746" w:rsidRPr="00875E9E" w:rsidRDefault="009B3717"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 xml:space="preserve">Issue Id: </w:t>
      </w:r>
      <w:r w:rsidRPr="00875E9E">
        <w:rPr>
          <w:rFonts w:ascii="Times New Roman" w:hAnsi="Times New Roman" w:cs="Times New Roman"/>
          <w:sz w:val="24"/>
          <w:szCs w:val="24"/>
        </w:rPr>
        <w:t>ISU-1</w:t>
      </w: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Scope</w:t>
      </w:r>
      <w:r w:rsidR="009B3717" w:rsidRPr="00875E9E">
        <w:rPr>
          <w:rFonts w:ascii="Times New Roman" w:hAnsi="Times New Roman" w:cs="Times New Roman"/>
          <w:b/>
          <w:sz w:val="24"/>
          <w:szCs w:val="24"/>
        </w:rPr>
        <w:t>:</w:t>
      </w:r>
    </w:p>
    <w:p w:rsidR="00774D49"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Finding(s)</w:t>
      </w:r>
      <w:r w:rsidR="009B3717" w:rsidRPr="00875E9E">
        <w:rPr>
          <w:rFonts w:ascii="Times New Roman" w:hAnsi="Times New Roman" w:cs="Times New Roman"/>
          <w:b/>
          <w:sz w:val="24"/>
          <w:szCs w:val="24"/>
        </w:rPr>
        <w:t xml:space="preserve">: </w:t>
      </w:r>
      <w:r w:rsidR="0023283C" w:rsidRPr="00875E9E">
        <w:rPr>
          <w:rFonts w:ascii="Times New Roman" w:hAnsi="Times New Roman" w:cs="Times New Roman"/>
          <w:sz w:val="24"/>
          <w:szCs w:val="24"/>
          <w:lang w:val="en-CA"/>
        </w:rPr>
        <w:t>Recovery of Debts</w:t>
      </w:r>
      <w:r w:rsidR="0023283C" w:rsidRPr="00875E9E">
        <w:rPr>
          <w:rFonts w:ascii="Times New Roman" w:hAnsi="Times New Roman" w:cs="Times New Roman"/>
          <w:b/>
          <w:sz w:val="24"/>
          <w:szCs w:val="24"/>
        </w:rPr>
        <w:t xml:space="preserve"> </w:t>
      </w:r>
    </w:p>
    <w:p w:rsidR="00774D49" w:rsidRPr="00875E9E" w:rsidRDefault="00774D49" w:rsidP="00990DD9">
      <w:pPr>
        <w:spacing w:after="0" w:line="240" w:lineRule="auto"/>
        <w:jc w:val="both"/>
        <w:rPr>
          <w:rFonts w:ascii="Times New Roman" w:hAnsi="Times New Roman" w:cs="Times New Roman"/>
          <w:sz w:val="24"/>
          <w:szCs w:val="24"/>
          <w:lang w:val="en-CA"/>
        </w:rPr>
      </w:pPr>
      <w:r w:rsidRPr="00875E9E">
        <w:rPr>
          <w:rFonts w:ascii="Times New Roman" w:hAnsi="Times New Roman" w:cs="Times New Roman"/>
          <w:sz w:val="24"/>
          <w:szCs w:val="24"/>
          <w:lang w:val="en-CA"/>
        </w:rPr>
        <w:t>The Treasury Board of Canada Secretariat Policy on Receivables Management  stipulates that departments must vigorously pursue the collection of receivables. These measures must be appropriate, timely and cost-effective. The results of the audit reveal that the Department does not seem to be fully compliant with this requirement.</w:t>
      </w:r>
    </w:p>
    <w:p w:rsidR="00774D49" w:rsidRPr="00875E9E" w:rsidRDefault="00774D49" w:rsidP="00990DD9">
      <w:pPr>
        <w:pStyle w:val="NormalWeb"/>
        <w:spacing w:after="0"/>
        <w:jc w:val="both"/>
        <w:rPr>
          <w:lang w:val="en-CA"/>
        </w:rPr>
      </w:pPr>
      <w:r w:rsidRPr="00875E9E">
        <w:rPr>
          <w:lang w:val="en-CA"/>
        </w:rPr>
        <w:lastRenderedPageBreak/>
        <w:t>Monthly account statements are generated and are sent to all clients who have unpaid balances with the Department. These account statements are generated during the first three months following the original invoice.</w:t>
      </w:r>
    </w:p>
    <w:p w:rsidR="00C867F5" w:rsidRPr="00875E9E" w:rsidRDefault="00C867F5"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No. of case</w:t>
      </w:r>
      <w:r w:rsidR="00AF6F67" w:rsidRPr="00875E9E">
        <w:rPr>
          <w:rFonts w:ascii="Times New Roman" w:hAnsi="Times New Roman" w:cs="Times New Roman"/>
          <w:b/>
          <w:sz w:val="24"/>
          <w:szCs w:val="24"/>
        </w:rPr>
        <w:t xml:space="preserve">: </w:t>
      </w:r>
      <w:r w:rsidR="00AF6F67" w:rsidRPr="00875E9E">
        <w:rPr>
          <w:rFonts w:ascii="Times New Roman" w:hAnsi="Times New Roman" w:cs="Times New Roman"/>
          <w:sz w:val="24"/>
          <w:szCs w:val="24"/>
        </w:rPr>
        <w:t>1</w:t>
      </w:r>
      <w:r w:rsidR="00AF6F67" w:rsidRPr="00875E9E">
        <w:rPr>
          <w:rFonts w:ascii="Times New Roman" w:hAnsi="Times New Roman" w:cs="Times New Roman"/>
          <w:b/>
          <w:sz w:val="24"/>
          <w:szCs w:val="24"/>
        </w:rPr>
        <w:t xml:space="preserve"> </w:t>
      </w:r>
    </w:p>
    <w:p w:rsidR="005D2E2C" w:rsidRPr="00875E9E" w:rsidRDefault="005D2E2C"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Probable causes</w:t>
      </w:r>
      <w:r w:rsidR="00C0376C" w:rsidRPr="00875E9E">
        <w:rPr>
          <w:rFonts w:ascii="Times New Roman" w:hAnsi="Times New Roman" w:cs="Times New Roman"/>
          <w:b/>
          <w:sz w:val="24"/>
          <w:szCs w:val="24"/>
        </w:rPr>
        <w:t xml:space="preserve">: </w:t>
      </w:r>
    </w:p>
    <w:p w:rsidR="005D2E2C" w:rsidRPr="00875E9E" w:rsidRDefault="005D2E2C" w:rsidP="00990DD9">
      <w:pPr>
        <w:spacing w:after="0" w:line="240" w:lineRule="auto"/>
        <w:jc w:val="both"/>
        <w:rPr>
          <w:rFonts w:ascii="Times New Roman" w:hAnsi="Times New Roman" w:cs="Times New Roman"/>
          <w:b/>
          <w:sz w:val="24"/>
          <w:szCs w:val="24"/>
        </w:rPr>
      </w:pPr>
    </w:p>
    <w:p w:rsidR="00AF6F67" w:rsidRPr="00875E9E" w:rsidRDefault="00692746"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Impact / Potential Risk(s)</w:t>
      </w:r>
      <w:r w:rsidR="00AF6F67" w:rsidRPr="00875E9E">
        <w:rPr>
          <w:rFonts w:ascii="Times New Roman" w:hAnsi="Times New Roman" w:cs="Times New Roman"/>
          <w:b/>
          <w:sz w:val="24"/>
          <w:szCs w:val="24"/>
        </w:rPr>
        <w:t>/ Risk</w:t>
      </w:r>
    </w:p>
    <w:p w:rsidR="00E43170" w:rsidRPr="00875E9E" w:rsidRDefault="00E43170" w:rsidP="00990DD9">
      <w:pPr>
        <w:pStyle w:val="NormalWeb"/>
        <w:spacing w:before="0" w:after="0"/>
        <w:jc w:val="both"/>
        <w:rPr>
          <w:lang w:val="en-CA"/>
        </w:rPr>
      </w:pPr>
      <w:r w:rsidRPr="00875E9E">
        <w:rPr>
          <w:lang w:val="en-CA"/>
        </w:rPr>
        <w:t>During the planning of the audit, a risk analysis was carried out to identify, evaluate and prioritize the risks associated with the management of accounts receivable. This analysis was based upon an examination of the accounting policies, manuals and standards that govern the management of accounts receivable and on an analysis of the data contained in the Department’s financial system. Key personnel in the management of accounts receivable were also interviewed.</w:t>
      </w:r>
    </w:p>
    <w:p w:rsidR="008D62D3" w:rsidRPr="00875E9E" w:rsidRDefault="008D62D3"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Major / Financial Impaction</w:t>
      </w:r>
    </w:p>
    <w:p w:rsidR="00191A9D" w:rsidRPr="00875E9E" w:rsidRDefault="00191A9D" w:rsidP="00990DD9">
      <w:pPr>
        <w:pStyle w:val="NormalWeb"/>
        <w:spacing w:before="0" w:after="0"/>
        <w:jc w:val="both"/>
        <w:rPr>
          <w:b/>
          <w:i/>
          <w:lang w:val="en-CA"/>
        </w:rPr>
      </w:pPr>
      <w:r w:rsidRPr="00875E9E">
        <w:rPr>
          <w:lang w:val="en-CA"/>
        </w:rPr>
        <w:t>The identified risks were then evaluated in terms of the probability of their becoming a reality and of their impact on the Department’s activities. As shown in Table 3, the risk evaluation activity did not reveal any high-level risks associated with the management of accounts receivable.</w:t>
      </w:r>
    </w:p>
    <w:p w:rsidR="00191A9D" w:rsidRPr="00875E9E" w:rsidRDefault="00191A9D" w:rsidP="00990DD9">
      <w:pPr>
        <w:spacing w:after="0" w:line="240" w:lineRule="auto"/>
        <w:jc w:val="both"/>
        <w:rPr>
          <w:rFonts w:ascii="Times New Roman" w:hAnsi="Times New Roman" w:cs="Times New Roman"/>
          <w:b/>
          <w:sz w:val="24"/>
          <w:szCs w:val="24"/>
        </w:rPr>
      </w:pPr>
    </w:p>
    <w:p w:rsidR="00561560" w:rsidRPr="00875E9E" w:rsidRDefault="00692746" w:rsidP="00990DD9">
      <w:pPr>
        <w:pStyle w:val="NormalWeb"/>
        <w:spacing w:after="0"/>
        <w:jc w:val="both"/>
        <w:rPr>
          <w:b/>
        </w:rPr>
      </w:pPr>
      <w:r w:rsidRPr="00875E9E">
        <w:rPr>
          <w:b/>
        </w:rPr>
        <w:t>Recommendation(s)</w:t>
      </w:r>
      <w:r w:rsidR="00C3275D" w:rsidRPr="00875E9E">
        <w:rPr>
          <w:b/>
        </w:rPr>
        <w:t xml:space="preserve">: </w:t>
      </w:r>
    </w:p>
    <w:p w:rsidR="00C3275D" w:rsidRPr="00875E9E" w:rsidRDefault="00C3275D" w:rsidP="00990DD9">
      <w:pPr>
        <w:pStyle w:val="NormalWeb"/>
        <w:spacing w:after="0"/>
        <w:ind w:firstLine="420"/>
        <w:jc w:val="both"/>
        <w:rPr>
          <w:lang w:val="en-CA"/>
        </w:rPr>
      </w:pPr>
      <w:r w:rsidRPr="00875E9E">
        <w:rPr>
          <w:lang w:val="en-CA"/>
        </w:rPr>
        <w:t>1. The Assistant Deputy Minister, Finance and Corporate Branch, should:</w:t>
      </w:r>
    </w:p>
    <w:p w:rsidR="00C3275D" w:rsidRPr="00875E9E" w:rsidRDefault="00C3275D" w:rsidP="00990DD9">
      <w:pPr>
        <w:pStyle w:val="NormalWeb"/>
        <w:numPr>
          <w:ilvl w:val="0"/>
          <w:numId w:val="17"/>
        </w:numPr>
        <w:spacing w:after="0"/>
        <w:jc w:val="both"/>
        <w:rPr>
          <w:lang w:val="en-CA"/>
        </w:rPr>
      </w:pPr>
      <w:r w:rsidRPr="00875E9E">
        <w:rPr>
          <w:lang w:val="en-CA"/>
        </w:rPr>
        <w:t>take the actions necessary to recover or write off the amounts over 365 days past due</w:t>
      </w:r>
      <w:r w:rsidR="00B81D64" w:rsidRPr="00875E9E">
        <w:rPr>
          <w:lang w:val="en-CA"/>
        </w:rPr>
        <w:t>.</w:t>
      </w:r>
    </w:p>
    <w:p w:rsidR="00C3275D" w:rsidRPr="00875E9E" w:rsidRDefault="00A83939" w:rsidP="00990DD9">
      <w:pPr>
        <w:pStyle w:val="NormalWeb"/>
        <w:numPr>
          <w:ilvl w:val="0"/>
          <w:numId w:val="15"/>
        </w:numPr>
        <w:spacing w:after="0"/>
        <w:jc w:val="both"/>
        <w:rPr>
          <w:lang w:val="en-CA"/>
        </w:rPr>
      </w:pPr>
      <w:r w:rsidRPr="00875E9E">
        <w:rPr>
          <w:lang w:val="en-CA"/>
        </w:rPr>
        <w:t>Ensure</w:t>
      </w:r>
      <w:r w:rsidR="00C3275D" w:rsidRPr="00875E9E">
        <w:rPr>
          <w:lang w:val="en-CA"/>
        </w:rPr>
        <w:t xml:space="preserve"> that guidelines are sent to the Department’s accounting </w:t>
      </w:r>
      <w:r w:rsidR="00093097" w:rsidRPr="00875E9E">
        <w:rPr>
          <w:lang w:val="en-CA"/>
        </w:rPr>
        <w:t>office’s</w:t>
      </w:r>
      <w:r w:rsidR="00C3275D" w:rsidRPr="00875E9E">
        <w:rPr>
          <w:lang w:val="en-CA"/>
        </w:rPr>
        <w:t xml:space="preserve"> concerning the management of amounts to be collected. Those guidelines should set out items such as:</w:t>
      </w:r>
    </w:p>
    <w:p w:rsidR="00C3275D" w:rsidRPr="00875E9E" w:rsidRDefault="002E7F6B" w:rsidP="00990DD9">
      <w:pPr>
        <w:pStyle w:val="NormalWeb"/>
        <w:numPr>
          <w:ilvl w:val="0"/>
          <w:numId w:val="15"/>
        </w:numPr>
        <w:tabs>
          <w:tab w:val="clear" w:pos="780"/>
          <w:tab w:val="num" w:pos="1440"/>
        </w:tabs>
        <w:spacing w:after="0"/>
        <w:ind w:left="1440"/>
        <w:jc w:val="both"/>
        <w:rPr>
          <w:lang w:val="en-CA"/>
        </w:rPr>
      </w:pPr>
      <w:r w:rsidRPr="00875E9E">
        <w:rPr>
          <w:lang w:val="en-CA"/>
        </w:rPr>
        <w:t>T</w:t>
      </w:r>
      <w:r w:rsidR="00C3275D" w:rsidRPr="00875E9E">
        <w:rPr>
          <w:lang w:val="en-CA"/>
        </w:rPr>
        <w:t>he roles and responsibilities of the personnel responsible for collections (managers, accounting offices, Departmental Accounting); and</w:t>
      </w:r>
    </w:p>
    <w:p w:rsidR="00C3275D" w:rsidRPr="00875E9E" w:rsidRDefault="002E7F6B" w:rsidP="00990DD9">
      <w:pPr>
        <w:pStyle w:val="NormalWeb"/>
        <w:numPr>
          <w:ilvl w:val="0"/>
          <w:numId w:val="15"/>
        </w:numPr>
        <w:tabs>
          <w:tab w:val="clear" w:pos="780"/>
          <w:tab w:val="num" w:pos="1440"/>
        </w:tabs>
        <w:spacing w:after="0"/>
        <w:ind w:left="1440"/>
        <w:jc w:val="both"/>
        <w:rPr>
          <w:b/>
          <w:u w:val="single"/>
          <w:lang w:val="en-CA"/>
        </w:rPr>
      </w:pPr>
      <w:r w:rsidRPr="00875E9E">
        <w:rPr>
          <w:lang w:val="en-CA"/>
        </w:rPr>
        <w:t>The</w:t>
      </w:r>
      <w:r w:rsidR="00C3275D" w:rsidRPr="00875E9E">
        <w:rPr>
          <w:lang w:val="en-CA"/>
        </w:rPr>
        <w:t xml:space="preserve"> methods of collection that are available and when to use them (standardize the process).</w:t>
      </w:r>
    </w:p>
    <w:p w:rsidR="00B46E65" w:rsidRPr="00875E9E" w:rsidRDefault="00B46E65" w:rsidP="00990DD9">
      <w:pPr>
        <w:pStyle w:val="NormalWeb"/>
        <w:spacing w:after="0"/>
        <w:ind w:left="1440"/>
        <w:jc w:val="both"/>
        <w:rPr>
          <w:b/>
          <w:u w:val="single"/>
          <w:lang w:val="en-CA"/>
        </w:rPr>
      </w:pPr>
    </w:p>
    <w:p w:rsidR="00691121" w:rsidRPr="00875E9E" w:rsidRDefault="00691121" w:rsidP="00990DD9">
      <w:pPr>
        <w:spacing w:after="0" w:line="240" w:lineRule="auto"/>
        <w:jc w:val="both"/>
        <w:rPr>
          <w:rFonts w:ascii="Times New Roman" w:hAnsi="Times New Roman" w:cs="Times New Roman"/>
          <w:b/>
          <w:sz w:val="24"/>
          <w:szCs w:val="24"/>
          <w:u w:val="single"/>
          <w:lang w:val="en-CA"/>
        </w:rPr>
      </w:pPr>
      <w:r w:rsidRPr="00875E9E">
        <w:rPr>
          <w:rFonts w:ascii="Times New Roman" w:hAnsi="Times New Roman" w:cs="Times New Roman"/>
          <w:b/>
          <w:sz w:val="24"/>
          <w:szCs w:val="24"/>
        </w:rPr>
        <w:t xml:space="preserve">Management Response: </w:t>
      </w:r>
      <w:r w:rsidRPr="00875E9E">
        <w:rPr>
          <w:rFonts w:ascii="Times New Roman" w:hAnsi="Times New Roman" w:cs="Times New Roman"/>
          <w:sz w:val="24"/>
          <w:szCs w:val="24"/>
          <w:lang w:val="en-CA"/>
        </w:rPr>
        <w:t>Management agreed with the recommendation and provided a detailed action plan to address it.</w:t>
      </w:r>
    </w:p>
    <w:p w:rsidR="00692746" w:rsidRPr="00875E9E" w:rsidRDefault="00692746"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Manage action plan (s)</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Responsibility</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Timeline</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Show upload file</w:t>
      </w:r>
      <w:r w:rsidR="005251AF" w:rsidRPr="00875E9E">
        <w:rPr>
          <w:rFonts w:ascii="Times New Roman" w:hAnsi="Times New Roman" w:cs="Times New Roman"/>
          <w:b/>
          <w:sz w:val="24"/>
          <w:szCs w:val="24"/>
        </w:rPr>
        <w:t xml:space="preserve">: </w:t>
      </w:r>
      <w:r w:rsidR="00D14CF2" w:rsidRPr="00875E9E">
        <w:rPr>
          <w:rFonts w:ascii="Times New Roman" w:hAnsi="Times New Roman" w:cs="Times New Roman"/>
          <w:sz w:val="24"/>
          <w:szCs w:val="24"/>
        </w:rPr>
        <w:t>S</w:t>
      </w:r>
      <w:r w:rsidR="005251AF" w:rsidRPr="00875E9E">
        <w:rPr>
          <w:rFonts w:ascii="Times New Roman" w:hAnsi="Times New Roman" w:cs="Times New Roman"/>
          <w:sz w:val="24"/>
          <w:szCs w:val="24"/>
        </w:rPr>
        <w:t>how uploads working paper</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lastRenderedPageBreak/>
        <w:t>Finding status</w:t>
      </w:r>
      <w:r w:rsidR="00B576C8" w:rsidRPr="00875E9E">
        <w:rPr>
          <w:rFonts w:ascii="Times New Roman" w:hAnsi="Times New Roman" w:cs="Times New Roman"/>
          <w:b/>
          <w:sz w:val="24"/>
          <w:szCs w:val="24"/>
        </w:rPr>
        <w:t xml:space="preserve">: </w:t>
      </w:r>
      <w:r w:rsidR="00B576C8" w:rsidRPr="00875E9E">
        <w:rPr>
          <w:rFonts w:ascii="Times New Roman" w:hAnsi="Times New Roman" w:cs="Times New Roman"/>
          <w:sz w:val="24"/>
          <w:szCs w:val="24"/>
        </w:rPr>
        <w:t>Open</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Finding Type</w:t>
      </w:r>
      <w:r w:rsidR="0087083F" w:rsidRPr="00875E9E">
        <w:rPr>
          <w:rFonts w:ascii="Times New Roman" w:hAnsi="Times New Roman" w:cs="Times New Roman"/>
          <w:b/>
          <w:sz w:val="24"/>
          <w:szCs w:val="24"/>
        </w:rPr>
        <w:t xml:space="preserve">: </w:t>
      </w:r>
      <w:r w:rsidR="00A92A11" w:rsidRPr="00875E9E">
        <w:rPr>
          <w:rFonts w:ascii="Times New Roman" w:hAnsi="Times New Roman" w:cs="Times New Roman"/>
          <w:sz w:val="24"/>
          <w:szCs w:val="24"/>
        </w:rPr>
        <w:t>Financial</w:t>
      </w:r>
    </w:p>
    <w:p w:rsidR="0075359B" w:rsidRPr="00875E9E" w:rsidRDefault="0075359B" w:rsidP="00990DD9">
      <w:pPr>
        <w:spacing w:after="0" w:line="240" w:lineRule="auto"/>
        <w:jc w:val="both"/>
        <w:rPr>
          <w:rFonts w:ascii="Times New Roman" w:hAnsi="Times New Roman" w:cs="Times New Roman"/>
          <w:b/>
          <w:sz w:val="24"/>
          <w:szCs w:val="24"/>
        </w:rPr>
      </w:pPr>
    </w:p>
    <w:p w:rsidR="00692746" w:rsidRPr="00875E9E" w:rsidRDefault="00692746"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Finding Nature</w:t>
      </w:r>
      <w:r w:rsidR="0050423E" w:rsidRPr="00875E9E">
        <w:rPr>
          <w:rFonts w:ascii="Times New Roman" w:hAnsi="Times New Roman" w:cs="Times New Roman"/>
          <w:b/>
          <w:sz w:val="24"/>
          <w:szCs w:val="24"/>
        </w:rPr>
        <w:t xml:space="preserve">: </w:t>
      </w:r>
      <w:r w:rsidR="0050423E" w:rsidRPr="00875E9E">
        <w:rPr>
          <w:rFonts w:ascii="Times New Roman" w:hAnsi="Times New Roman" w:cs="Times New Roman"/>
          <w:sz w:val="24"/>
          <w:szCs w:val="24"/>
        </w:rPr>
        <w:t>Operational Laps</w:t>
      </w:r>
    </w:p>
    <w:p w:rsidR="00402F89" w:rsidRDefault="00402F89" w:rsidP="00402F8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Person Responsible:  1. </w:t>
      </w:r>
      <w:r w:rsidRPr="00402F89">
        <w:rPr>
          <w:rFonts w:ascii="Times New Roman" w:hAnsi="Times New Roman" w:cs="Times New Roman"/>
          <w:sz w:val="24"/>
          <w:szCs w:val="24"/>
        </w:rPr>
        <w:t>ABC</w:t>
      </w:r>
    </w:p>
    <w:p w:rsidR="00402F89" w:rsidRPr="00875E9E" w:rsidRDefault="00402F89" w:rsidP="00402F89">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PQR</w:t>
      </w:r>
    </w:p>
    <w:p w:rsidR="0075359B" w:rsidRPr="00875E9E" w:rsidRDefault="0075359B" w:rsidP="00990DD9">
      <w:pPr>
        <w:spacing w:after="0" w:line="240" w:lineRule="auto"/>
        <w:jc w:val="both"/>
        <w:rPr>
          <w:rFonts w:ascii="Times New Roman" w:hAnsi="Times New Roman" w:cs="Times New Roman"/>
          <w:b/>
          <w:sz w:val="24"/>
          <w:szCs w:val="24"/>
        </w:rPr>
      </w:pPr>
    </w:p>
    <w:p w:rsidR="00DD36C1" w:rsidRPr="00875E9E" w:rsidRDefault="00DD36C1" w:rsidP="00990DD9">
      <w:pPr>
        <w:spacing w:after="0" w:line="240" w:lineRule="auto"/>
        <w:jc w:val="both"/>
        <w:rPr>
          <w:rFonts w:ascii="Times New Roman" w:hAnsi="Times New Roman" w:cs="Times New Roman"/>
          <w:b/>
          <w:sz w:val="24"/>
          <w:szCs w:val="24"/>
        </w:rPr>
      </w:pPr>
    </w:p>
    <w:p w:rsidR="00AA0871" w:rsidRPr="00875E9E" w:rsidRDefault="00AA0871" w:rsidP="00990DD9">
      <w:pPr>
        <w:spacing w:after="0" w:line="240" w:lineRule="auto"/>
        <w:jc w:val="both"/>
        <w:rPr>
          <w:rFonts w:ascii="Times New Roman" w:hAnsi="Times New Roman" w:cs="Times New Roman"/>
          <w:b/>
          <w:sz w:val="24"/>
          <w:szCs w:val="24"/>
        </w:rPr>
      </w:pP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 xml:space="preserve">Issue Id: </w:t>
      </w:r>
      <w:r w:rsidR="00AA0871" w:rsidRPr="00875E9E">
        <w:rPr>
          <w:rFonts w:ascii="Times New Roman" w:hAnsi="Times New Roman" w:cs="Times New Roman"/>
          <w:sz w:val="24"/>
          <w:szCs w:val="24"/>
        </w:rPr>
        <w:t>ISU-2</w:t>
      </w: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Scope:</w:t>
      </w:r>
    </w:p>
    <w:p w:rsidR="00737BBA"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 xml:space="preserve">Finding(s): </w:t>
      </w:r>
      <w:r w:rsidR="00737BBA" w:rsidRPr="00875E9E">
        <w:rPr>
          <w:rFonts w:ascii="Times New Roman" w:hAnsi="Times New Roman" w:cs="Times New Roman"/>
          <w:b/>
          <w:sz w:val="24"/>
          <w:szCs w:val="24"/>
        </w:rPr>
        <w:tab/>
        <w:t>Interest</w:t>
      </w:r>
    </w:p>
    <w:p w:rsidR="00886396" w:rsidRPr="00875E9E" w:rsidRDefault="00886396" w:rsidP="00990DD9">
      <w:pPr>
        <w:pStyle w:val="NormalWeb"/>
        <w:spacing w:after="0"/>
        <w:jc w:val="both"/>
        <w:rPr>
          <w:lang w:val="en-CA"/>
        </w:rPr>
      </w:pPr>
      <w:r w:rsidRPr="00875E9E">
        <w:rPr>
          <w:lang w:val="en-CA"/>
        </w:rPr>
        <w:t>In addition to administrative charges, the Department is required to charge interest on accounts that are more than 30 days past due. The rate of interest set out by the Treasury Board of Canada Secretariat is equivalent to the bank rate plus 3%. This rate is calculated on a monthly basis and the financial system is updated by Departmental Accounting before the account statements are generated by the accounting offices and sent to their customers.</w:t>
      </w:r>
    </w:p>
    <w:p w:rsidR="00A66F98" w:rsidRPr="00875E9E" w:rsidRDefault="00886396" w:rsidP="00990DD9">
      <w:pPr>
        <w:pStyle w:val="NormalWeb"/>
        <w:spacing w:after="0"/>
        <w:jc w:val="both"/>
        <w:rPr>
          <w:lang w:val="en-CA"/>
        </w:rPr>
      </w:pPr>
      <w:r w:rsidRPr="00875E9E">
        <w:rPr>
          <w:lang w:val="en-CA"/>
        </w:rPr>
        <w:t>The interest charges apply only to external accounts. Internal accounts are paid via the automated Interdepartmental Settlement System and are paid immediately.</w:t>
      </w:r>
    </w:p>
    <w:p w:rsidR="00886396" w:rsidRPr="00875E9E" w:rsidRDefault="00A66F98" w:rsidP="00990DD9">
      <w:pPr>
        <w:pStyle w:val="NormalWeb"/>
        <w:spacing w:after="0"/>
        <w:jc w:val="both"/>
        <w:rPr>
          <w:b/>
        </w:rPr>
      </w:pPr>
      <w:r w:rsidRPr="00875E9E">
        <w:rPr>
          <w:b/>
        </w:rPr>
        <w:t xml:space="preserve"> </w:t>
      </w: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No. of case</w:t>
      </w:r>
      <w:r w:rsidR="00FA023B" w:rsidRPr="00875E9E">
        <w:rPr>
          <w:rFonts w:ascii="Times New Roman" w:hAnsi="Times New Roman" w:cs="Times New Roman"/>
          <w:b/>
          <w:sz w:val="24"/>
          <w:szCs w:val="24"/>
        </w:rPr>
        <w:t xml:space="preserve">: </w:t>
      </w:r>
      <w:r w:rsidR="00FA023B" w:rsidRPr="00875E9E">
        <w:rPr>
          <w:rFonts w:ascii="Times New Roman" w:hAnsi="Times New Roman" w:cs="Times New Roman"/>
          <w:sz w:val="24"/>
          <w:szCs w:val="24"/>
        </w:rPr>
        <w:t>1</w:t>
      </w: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Probable causes</w:t>
      </w:r>
    </w:p>
    <w:p w:rsidR="00FA023B" w:rsidRPr="00875E9E" w:rsidRDefault="00FA023B" w:rsidP="00990DD9">
      <w:pPr>
        <w:spacing w:after="0" w:line="240" w:lineRule="auto"/>
        <w:jc w:val="both"/>
        <w:rPr>
          <w:rFonts w:ascii="Times New Roman" w:hAnsi="Times New Roman" w:cs="Times New Roman"/>
          <w:b/>
          <w:sz w:val="24"/>
          <w:szCs w:val="24"/>
        </w:rPr>
      </w:pPr>
    </w:p>
    <w:p w:rsidR="00885B9B" w:rsidRPr="00875E9E" w:rsidRDefault="00885B9B" w:rsidP="00885B9B">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Impact / Potential Risk(s)/ Risk</w:t>
      </w:r>
    </w:p>
    <w:p w:rsidR="00885B9B" w:rsidRPr="00875E9E" w:rsidRDefault="00885B9B" w:rsidP="00885B9B">
      <w:pPr>
        <w:pStyle w:val="NormalWeb"/>
        <w:spacing w:before="0" w:after="0"/>
        <w:jc w:val="both"/>
        <w:rPr>
          <w:lang w:val="en-CA"/>
        </w:rPr>
      </w:pPr>
      <w:r w:rsidRPr="00875E9E">
        <w:rPr>
          <w:lang w:val="en-CA"/>
        </w:rPr>
        <w:t>During the planning of the audit, a risk analysis was carried out to identify, evaluate and prioritize the risks associated with the management of accounts receivable. This analysis was based upon an examination of the accounting policies, manuals and standards that govern the management of accounts receivable and on an analysis of the data contained in the Department’s financial system. Key personnel in the management of accounts receivable were also interviewed.</w:t>
      </w:r>
    </w:p>
    <w:p w:rsidR="00885B9B" w:rsidRPr="00875E9E" w:rsidRDefault="00885B9B" w:rsidP="00885B9B">
      <w:pPr>
        <w:spacing w:after="0" w:line="240" w:lineRule="auto"/>
        <w:jc w:val="both"/>
        <w:rPr>
          <w:rFonts w:ascii="Times New Roman" w:hAnsi="Times New Roman" w:cs="Times New Roman"/>
          <w:b/>
          <w:sz w:val="24"/>
          <w:szCs w:val="24"/>
        </w:rPr>
      </w:pPr>
    </w:p>
    <w:p w:rsidR="00885B9B" w:rsidRPr="00875E9E" w:rsidRDefault="00885B9B" w:rsidP="00885B9B">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Major / Financial Impaction</w:t>
      </w:r>
    </w:p>
    <w:p w:rsidR="00885B9B" w:rsidRPr="00875E9E" w:rsidRDefault="00885B9B" w:rsidP="00885B9B">
      <w:pPr>
        <w:pStyle w:val="NormalWeb"/>
        <w:spacing w:before="0" w:after="0"/>
        <w:jc w:val="both"/>
        <w:rPr>
          <w:b/>
          <w:i/>
          <w:lang w:val="en-CA"/>
        </w:rPr>
      </w:pPr>
      <w:r w:rsidRPr="00875E9E">
        <w:rPr>
          <w:lang w:val="en-CA"/>
        </w:rPr>
        <w:t>The identified risks were then evaluated in terms of the probability of their becoming a reality and of their impact on the Department’s activities. As shown in Table 3, the risk evaluation activity did not reveal any high-level risks associated with the management of accounts receivable.</w:t>
      </w:r>
    </w:p>
    <w:p w:rsidR="00885B9B" w:rsidRPr="00875E9E" w:rsidRDefault="00885B9B" w:rsidP="00885B9B">
      <w:pPr>
        <w:spacing w:after="0" w:line="240" w:lineRule="auto"/>
        <w:jc w:val="both"/>
        <w:rPr>
          <w:rFonts w:ascii="Times New Roman" w:hAnsi="Times New Roman" w:cs="Times New Roman"/>
          <w:b/>
          <w:sz w:val="24"/>
          <w:szCs w:val="24"/>
        </w:rPr>
      </w:pPr>
    </w:p>
    <w:p w:rsidR="00885B9B" w:rsidRPr="00875E9E" w:rsidRDefault="00885B9B" w:rsidP="00885B9B">
      <w:pPr>
        <w:spacing w:after="0" w:line="240" w:lineRule="auto"/>
        <w:jc w:val="both"/>
        <w:rPr>
          <w:rFonts w:ascii="Times New Roman" w:hAnsi="Times New Roman" w:cs="Times New Roman"/>
          <w:b/>
          <w:sz w:val="24"/>
          <w:szCs w:val="24"/>
        </w:rPr>
      </w:pPr>
    </w:p>
    <w:tbl>
      <w:tblPr>
        <w:tblW w:w="0" w:type="auto"/>
        <w:tblInd w:w="-15" w:type="dxa"/>
        <w:tblCellMar>
          <w:left w:w="0" w:type="dxa"/>
          <w:right w:w="0" w:type="dxa"/>
        </w:tblCellMar>
        <w:tblLook w:val="0000"/>
      </w:tblPr>
      <w:tblGrid>
        <w:gridCol w:w="300"/>
        <w:gridCol w:w="877"/>
        <w:gridCol w:w="2856"/>
        <w:gridCol w:w="2599"/>
        <w:gridCol w:w="2753"/>
      </w:tblGrid>
      <w:tr w:rsidR="00885B9B" w:rsidRPr="00875E9E" w:rsidTr="009E4A65">
        <w:trPr>
          <w:trHeight w:val="143"/>
        </w:trPr>
        <w:tc>
          <w:tcPr>
            <w:tcW w:w="0" w:type="auto"/>
            <w:tcBorders>
              <w:top w:val="single" w:sz="4" w:space="0" w:color="FFFFFF"/>
              <w:left w:val="single" w:sz="4" w:space="0" w:color="FFFFFF"/>
              <w:bottom w:val="single" w:sz="4" w:space="0" w:color="000000"/>
            </w:tcBorders>
            <w:shd w:val="clear" w:color="auto" w:fill="auto"/>
            <w:vAlign w:val="bottom"/>
          </w:tcPr>
          <w:p w:rsidR="00885B9B" w:rsidRPr="00875E9E" w:rsidRDefault="00885B9B" w:rsidP="00AE4D55">
            <w:pPr>
              <w:pStyle w:val="NormalWeb"/>
              <w:autoSpaceDE w:val="0"/>
              <w:spacing w:before="0" w:after="0"/>
              <w:jc w:val="both"/>
              <w:rPr>
                <w:lang w:val="en-CA"/>
              </w:rPr>
            </w:pPr>
            <w:r w:rsidRPr="00875E9E">
              <w:rPr>
                <w:lang w:val="en-CA"/>
              </w:rPr>
              <w:t> </w:t>
            </w:r>
          </w:p>
        </w:tc>
        <w:tc>
          <w:tcPr>
            <w:tcW w:w="0" w:type="auto"/>
            <w:tcBorders>
              <w:top w:val="single" w:sz="4" w:space="0" w:color="FFFFFF"/>
              <w:left w:val="single" w:sz="4" w:space="0" w:color="FFFFFF"/>
              <w:bottom w:val="single" w:sz="4" w:space="0" w:color="000000"/>
            </w:tcBorders>
            <w:shd w:val="clear" w:color="auto" w:fill="auto"/>
            <w:vAlign w:val="bottom"/>
          </w:tcPr>
          <w:p w:rsidR="00885B9B" w:rsidRPr="00875E9E" w:rsidRDefault="00885B9B" w:rsidP="00AE4D55">
            <w:pPr>
              <w:pStyle w:val="NormalWeb"/>
              <w:autoSpaceDE w:val="0"/>
              <w:spacing w:before="0" w:after="0"/>
              <w:jc w:val="both"/>
              <w:rPr>
                <w:b/>
                <w:bCs/>
                <w:lang w:val="en-CA"/>
              </w:rPr>
            </w:pPr>
            <w:r w:rsidRPr="00875E9E">
              <w:rPr>
                <w:lang w:val="en-CA"/>
              </w:rPr>
              <w:t> </w:t>
            </w:r>
          </w:p>
        </w:tc>
        <w:tc>
          <w:tcPr>
            <w:tcW w:w="0" w:type="auto"/>
            <w:tcBorders>
              <w:top w:val="single" w:sz="4" w:space="0" w:color="000000"/>
              <w:left w:val="single" w:sz="4" w:space="0" w:color="000000"/>
              <w:bottom w:val="single" w:sz="4" w:space="0" w:color="000000"/>
            </w:tcBorders>
            <w:shd w:val="clear" w:color="auto" w:fill="auto"/>
            <w:vAlign w:val="bottom"/>
          </w:tcPr>
          <w:p w:rsidR="00885B9B" w:rsidRPr="00875E9E" w:rsidRDefault="00885B9B" w:rsidP="00AE4D55">
            <w:pPr>
              <w:pStyle w:val="NormalWeb"/>
              <w:autoSpaceDE w:val="0"/>
              <w:spacing w:before="0" w:after="0"/>
              <w:jc w:val="both"/>
              <w:rPr>
                <w:b/>
                <w:bCs/>
                <w:lang w:val="en-CA"/>
              </w:rPr>
            </w:pPr>
            <w:r w:rsidRPr="00875E9E">
              <w:rPr>
                <w:b/>
                <w:bCs/>
                <w:lang w:val="en-CA"/>
              </w:rPr>
              <w:t>Low</w:t>
            </w:r>
          </w:p>
        </w:tc>
        <w:tc>
          <w:tcPr>
            <w:tcW w:w="0" w:type="auto"/>
            <w:tcBorders>
              <w:top w:val="single" w:sz="4" w:space="0" w:color="000000"/>
              <w:left w:val="single" w:sz="4" w:space="0" w:color="000000"/>
              <w:bottom w:val="single" w:sz="4" w:space="0" w:color="000000"/>
            </w:tcBorders>
            <w:shd w:val="clear" w:color="auto" w:fill="auto"/>
            <w:vAlign w:val="bottom"/>
          </w:tcPr>
          <w:p w:rsidR="00885B9B" w:rsidRPr="00875E9E" w:rsidRDefault="00885B9B" w:rsidP="00AE4D55">
            <w:pPr>
              <w:pStyle w:val="NormalWeb"/>
              <w:autoSpaceDE w:val="0"/>
              <w:spacing w:before="0" w:after="0"/>
              <w:jc w:val="both"/>
              <w:rPr>
                <w:b/>
                <w:bCs/>
                <w:lang w:val="en-CA"/>
              </w:rPr>
            </w:pPr>
            <w:r w:rsidRPr="00875E9E">
              <w:rPr>
                <w:b/>
                <w:bCs/>
                <w:lang w:val="en-CA"/>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rsidR="00885B9B" w:rsidRPr="00875E9E" w:rsidRDefault="00885B9B" w:rsidP="00AE4D55">
            <w:pPr>
              <w:pStyle w:val="NormalWeb"/>
              <w:autoSpaceDE w:val="0"/>
              <w:spacing w:before="0" w:after="0"/>
              <w:jc w:val="both"/>
            </w:pPr>
            <w:r w:rsidRPr="00875E9E">
              <w:rPr>
                <w:b/>
                <w:bCs/>
                <w:lang w:val="en-CA"/>
              </w:rPr>
              <w:t>High</w:t>
            </w:r>
          </w:p>
        </w:tc>
      </w:tr>
      <w:tr w:rsidR="00885B9B" w:rsidRPr="00875E9E" w:rsidTr="009E4A65">
        <w:trPr>
          <w:trHeight w:val="1385"/>
        </w:trPr>
        <w:tc>
          <w:tcPr>
            <w:tcW w:w="0" w:type="auto"/>
            <w:vMerge w:val="restart"/>
            <w:tcBorders>
              <w:top w:val="single" w:sz="4" w:space="0" w:color="000000"/>
              <w:left w:val="single" w:sz="4" w:space="0" w:color="000000"/>
              <w:bottom w:val="single" w:sz="4" w:space="0" w:color="000000"/>
            </w:tcBorders>
            <w:shd w:val="clear" w:color="auto" w:fill="auto"/>
            <w:textDirection w:val="btLr"/>
            <w:vAlign w:val="center"/>
          </w:tcPr>
          <w:p w:rsidR="00885B9B" w:rsidRPr="00875E9E" w:rsidRDefault="00885B9B" w:rsidP="00AE4D55">
            <w:pPr>
              <w:pStyle w:val="NormalWeb"/>
              <w:autoSpaceDE w:val="0"/>
              <w:spacing w:before="0" w:after="0"/>
              <w:ind w:left="113" w:right="113"/>
              <w:jc w:val="both"/>
              <w:rPr>
                <w:b/>
                <w:bCs/>
                <w:lang w:val="en-CA"/>
              </w:rPr>
            </w:pPr>
            <w:r w:rsidRPr="00875E9E">
              <w:rPr>
                <w:b/>
                <w:bCs/>
                <w:lang w:val="en-CA"/>
              </w:rPr>
              <w:t>Impact</w:t>
            </w:r>
          </w:p>
        </w:tc>
        <w:tc>
          <w:tcPr>
            <w:tcW w:w="0" w:type="auto"/>
            <w:tcBorders>
              <w:top w:val="single" w:sz="4" w:space="0" w:color="000000"/>
              <w:left w:val="single" w:sz="4" w:space="0" w:color="000000"/>
              <w:bottom w:val="single" w:sz="4" w:space="0" w:color="000000"/>
            </w:tcBorders>
            <w:shd w:val="clear" w:color="auto" w:fill="auto"/>
            <w:vAlign w:val="center"/>
          </w:tcPr>
          <w:p w:rsidR="00885B9B" w:rsidRPr="00875E9E" w:rsidRDefault="00885B9B" w:rsidP="00AE4D55">
            <w:pPr>
              <w:pStyle w:val="NormalWeb"/>
              <w:autoSpaceDE w:val="0"/>
              <w:spacing w:before="0" w:after="0"/>
              <w:jc w:val="both"/>
              <w:rPr>
                <w:b/>
                <w:lang w:val="en-CA"/>
              </w:rPr>
            </w:pPr>
            <w:r w:rsidRPr="00875E9E">
              <w:rPr>
                <w:b/>
                <w:bCs/>
                <w:lang w:val="en-CA"/>
              </w:rPr>
              <w:t>High</w:t>
            </w:r>
          </w:p>
        </w:tc>
        <w:tc>
          <w:tcPr>
            <w:tcW w:w="0" w:type="auto"/>
            <w:tcBorders>
              <w:top w:val="single" w:sz="4" w:space="0" w:color="000000"/>
              <w:left w:val="single" w:sz="4" w:space="0" w:color="000000"/>
              <w:bottom w:val="single" w:sz="4" w:space="0" w:color="000000"/>
            </w:tcBorders>
            <w:shd w:val="clear" w:color="auto" w:fill="CCCCCC"/>
            <w:vAlign w:val="center"/>
          </w:tcPr>
          <w:p w:rsidR="00885B9B" w:rsidRPr="00875E9E" w:rsidRDefault="00885B9B" w:rsidP="00AE4D55">
            <w:pPr>
              <w:pStyle w:val="NormalWeb"/>
              <w:numPr>
                <w:ilvl w:val="0"/>
                <w:numId w:val="20"/>
              </w:numPr>
              <w:autoSpaceDE w:val="0"/>
              <w:spacing w:before="0" w:after="0"/>
              <w:jc w:val="both"/>
              <w:rPr>
                <w:b/>
                <w:lang w:val="en-CA"/>
              </w:rPr>
            </w:pPr>
            <w:r w:rsidRPr="00875E9E">
              <w:rPr>
                <w:b/>
                <w:lang w:val="en-CA"/>
              </w:rPr>
              <w:t>Problems with invoicing (delays, amounts)</w:t>
            </w:r>
          </w:p>
          <w:p w:rsidR="00885B9B" w:rsidRPr="00875E9E" w:rsidRDefault="00885B9B" w:rsidP="00AE4D55">
            <w:pPr>
              <w:pStyle w:val="NormalWeb"/>
              <w:autoSpaceDE w:val="0"/>
              <w:spacing w:before="0" w:after="0"/>
              <w:jc w:val="both"/>
              <w:rPr>
                <w:b/>
                <w:lang w:val="en-CA"/>
              </w:rPr>
            </w:pPr>
            <w:r w:rsidRPr="00875E9E">
              <w:rPr>
                <w:b/>
                <w:lang w:val="en-CA"/>
              </w:rPr>
              <w:t> </w:t>
            </w:r>
          </w:p>
        </w:tc>
        <w:tc>
          <w:tcPr>
            <w:tcW w:w="0" w:type="auto"/>
            <w:tcBorders>
              <w:top w:val="single" w:sz="4" w:space="0" w:color="000000"/>
              <w:left w:val="single" w:sz="4" w:space="0" w:color="000000"/>
              <w:bottom w:val="single" w:sz="4" w:space="0" w:color="000000"/>
            </w:tcBorders>
            <w:shd w:val="clear" w:color="auto" w:fill="808080"/>
            <w:vAlign w:val="center"/>
          </w:tcPr>
          <w:p w:rsidR="00885B9B" w:rsidRPr="00875E9E" w:rsidRDefault="00885B9B" w:rsidP="00AE4D55">
            <w:pPr>
              <w:pStyle w:val="NormalWeb"/>
              <w:numPr>
                <w:ilvl w:val="0"/>
                <w:numId w:val="20"/>
              </w:numPr>
              <w:autoSpaceDE w:val="0"/>
              <w:spacing w:before="0" w:after="0"/>
              <w:jc w:val="both"/>
              <w:rPr>
                <w:b/>
                <w:lang w:val="en-CA"/>
              </w:rPr>
            </w:pPr>
            <w:r w:rsidRPr="00875E9E">
              <w:rPr>
                <w:b/>
                <w:lang w:val="en-CA"/>
              </w:rPr>
              <w:t>Inadequate controls</w:t>
            </w: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tcPr>
          <w:p w:rsidR="00885B9B" w:rsidRPr="00875E9E" w:rsidRDefault="00885B9B" w:rsidP="00AE4D55">
            <w:pPr>
              <w:pStyle w:val="NormalWeb"/>
              <w:autoSpaceDE w:val="0"/>
              <w:spacing w:before="0" w:after="0"/>
              <w:ind w:left="26"/>
              <w:jc w:val="both"/>
            </w:pPr>
            <w:r w:rsidRPr="00875E9E">
              <w:rPr>
                <w:b/>
                <w:lang w:val="en-CA"/>
              </w:rPr>
              <w:t> </w:t>
            </w:r>
          </w:p>
        </w:tc>
      </w:tr>
      <w:tr w:rsidR="00885B9B" w:rsidRPr="00875E9E" w:rsidTr="009E4A65">
        <w:trPr>
          <w:trHeight w:val="1485"/>
        </w:trPr>
        <w:tc>
          <w:tcPr>
            <w:tcW w:w="0" w:type="auto"/>
            <w:vMerge/>
            <w:tcBorders>
              <w:top w:val="single" w:sz="4" w:space="0" w:color="000000"/>
              <w:left w:val="single" w:sz="4" w:space="0" w:color="000000"/>
              <w:bottom w:val="single" w:sz="4" w:space="0" w:color="000000"/>
            </w:tcBorders>
            <w:shd w:val="clear" w:color="auto" w:fill="auto"/>
            <w:vAlign w:val="center"/>
          </w:tcPr>
          <w:p w:rsidR="00885B9B" w:rsidRPr="00875E9E" w:rsidRDefault="00885B9B" w:rsidP="00AE4D55">
            <w:pPr>
              <w:snapToGrid w:val="0"/>
              <w:spacing w:line="240" w:lineRule="auto"/>
              <w:jc w:val="both"/>
              <w:rPr>
                <w:rFonts w:ascii="Times New Roman" w:hAnsi="Times New Roman" w:cs="Times New Roman"/>
                <w:sz w:val="24"/>
                <w:szCs w:val="24"/>
                <w:lang w:val="en-CA"/>
              </w:rPr>
            </w:pPr>
          </w:p>
        </w:tc>
        <w:tc>
          <w:tcPr>
            <w:tcW w:w="0" w:type="auto"/>
            <w:tcBorders>
              <w:top w:val="single" w:sz="4" w:space="0" w:color="000000"/>
              <w:left w:val="single" w:sz="4" w:space="0" w:color="000000"/>
              <w:bottom w:val="single" w:sz="4" w:space="0" w:color="000000"/>
            </w:tcBorders>
            <w:shd w:val="clear" w:color="auto" w:fill="auto"/>
            <w:vAlign w:val="center"/>
          </w:tcPr>
          <w:p w:rsidR="00885B9B" w:rsidRPr="00875E9E" w:rsidRDefault="00885B9B" w:rsidP="00AE4D55">
            <w:pPr>
              <w:pStyle w:val="NormalWeb"/>
              <w:autoSpaceDE w:val="0"/>
              <w:spacing w:before="0" w:after="0"/>
              <w:jc w:val="both"/>
              <w:rPr>
                <w:b/>
                <w:lang w:val="en-CA"/>
              </w:rPr>
            </w:pPr>
            <w:r w:rsidRPr="00875E9E">
              <w:rPr>
                <w:b/>
                <w:bCs/>
                <w:lang w:val="en-CA"/>
              </w:rPr>
              <w:t>Medium</w:t>
            </w:r>
          </w:p>
        </w:tc>
        <w:tc>
          <w:tcPr>
            <w:tcW w:w="0" w:type="auto"/>
            <w:tcBorders>
              <w:top w:val="single" w:sz="4" w:space="0" w:color="000000"/>
              <w:left w:val="single" w:sz="4" w:space="0" w:color="000000"/>
              <w:bottom w:val="single" w:sz="4" w:space="0" w:color="000000"/>
            </w:tcBorders>
            <w:shd w:val="clear" w:color="auto" w:fill="F3F3F3"/>
            <w:vAlign w:val="bottom"/>
          </w:tcPr>
          <w:p w:rsidR="00885B9B" w:rsidRPr="00875E9E" w:rsidRDefault="00885B9B" w:rsidP="00AE4D55">
            <w:pPr>
              <w:pStyle w:val="NormalWeb"/>
              <w:autoSpaceDE w:val="0"/>
              <w:snapToGrid w:val="0"/>
              <w:spacing w:before="0" w:after="0"/>
              <w:jc w:val="both"/>
              <w:rPr>
                <w:b/>
                <w:lang w:val="en-CA"/>
              </w:rPr>
            </w:pPr>
          </w:p>
        </w:tc>
        <w:tc>
          <w:tcPr>
            <w:tcW w:w="0" w:type="auto"/>
            <w:tcBorders>
              <w:top w:val="single" w:sz="4" w:space="0" w:color="000000"/>
              <w:left w:val="single" w:sz="4" w:space="0" w:color="000000"/>
              <w:bottom w:val="single" w:sz="4" w:space="0" w:color="000000"/>
            </w:tcBorders>
            <w:shd w:val="clear" w:color="auto" w:fill="CCCCCC"/>
            <w:vAlign w:val="center"/>
          </w:tcPr>
          <w:p w:rsidR="00885B9B" w:rsidRPr="00875E9E" w:rsidRDefault="00885B9B" w:rsidP="00AE4D55">
            <w:pPr>
              <w:pStyle w:val="NormalWeb"/>
              <w:numPr>
                <w:ilvl w:val="0"/>
                <w:numId w:val="18"/>
              </w:numPr>
              <w:autoSpaceDE w:val="0"/>
              <w:spacing w:before="0" w:after="0"/>
              <w:jc w:val="both"/>
              <w:rPr>
                <w:b/>
                <w:lang w:val="en-CA"/>
              </w:rPr>
            </w:pPr>
            <w:r w:rsidRPr="00875E9E">
              <w:rPr>
                <w:b/>
                <w:lang w:val="en-CA"/>
              </w:rPr>
              <w:t>Unjustified or unauthorized write-offs</w:t>
            </w:r>
          </w:p>
          <w:p w:rsidR="00885B9B" w:rsidRPr="00875E9E" w:rsidRDefault="00885B9B" w:rsidP="00AE4D55">
            <w:pPr>
              <w:pStyle w:val="NormalWeb"/>
              <w:numPr>
                <w:ilvl w:val="0"/>
                <w:numId w:val="20"/>
              </w:numPr>
              <w:autoSpaceDE w:val="0"/>
              <w:spacing w:before="0" w:after="0"/>
              <w:jc w:val="both"/>
              <w:rPr>
                <w:b/>
                <w:lang w:val="en-CA"/>
              </w:rPr>
            </w:pPr>
            <w:r w:rsidRPr="00875E9E">
              <w:rPr>
                <w:b/>
                <w:lang w:val="en-CA"/>
              </w:rPr>
              <w:t>Ineffective collection measures</w:t>
            </w: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tcPr>
          <w:p w:rsidR="00885B9B" w:rsidRPr="00875E9E" w:rsidRDefault="00885B9B" w:rsidP="00AE4D55">
            <w:pPr>
              <w:pStyle w:val="NormalWeb"/>
              <w:tabs>
                <w:tab w:val="left" w:pos="116"/>
              </w:tabs>
              <w:autoSpaceDE w:val="0"/>
              <w:spacing w:before="0" w:after="0"/>
              <w:ind w:left="57" w:right="59"/>
              <w:jc w:val="both"/>
            </w:pPr>
            <w:r w:rsidRPr="00875E9E">
              <w:rPr>
                <w:b/>
                <w:lang w:val="en-CA"/>
              </w:rPr>
              <w:t> </w:t>
            </w:r>
          </w:p>
        </w:tc>
      </w:tr>
      <w:tr w:rsidR="00885B9B" w:rsidRPr="00875E9E" w:rsidTr="009E4A65">
        <w:trPr>
          <w:trHeight w:val="1683"/>
        </w:trPr>
        <w:tc>
          <w:tcPr>
            <w:tcW w:w="0" w:type="auto"/>
            <w:vMerge/>
            <w:tcBorders>
              <w:top w:val="single" w:sz="4" w:space="0" w:color="000000"/>
              <w:left w:val="single" w:sz="4" w:space="0" w:color="000000"/>
              <w:bottom w:val="single" w:sz="4" w:space="0" w:color="000000"/>
            </w:tcBorders>
            <w:shd w:val="clear" w:color="auto" w:fill="auto"/>
            <w:vAlign w:val="center"/>
          </w:tcPr>
          <w:p w:rsidR="00885B9B" w:rsidRPr="00875E9E" w:rsidRDefault="00885B9B" w:rsidP="00AE4D55">
            <w:pPr>
              <w:snapToGrid w:val="0"/>
              <w:spacing w:line="240" w:lineRule="auto"/>
              <w:jc w:val="both"/>
              <w:rPr>
                <w:rFonts w:ascii="Times New Roman" w:hAnsi="Times New Roman" w:cs="Times New Roman"/>
                <w:sz w:val="24"/>
                <w:szCs w:val="24"/>
                <w:lang w:val="en-CA"/>
              </w:rPr>
            </w:pPr>
          </w:p>
        </w:tc>
        <w:tc>
          <w:tcPr>
            <w:tcW w:w="0" w:type="auto"/>
            <w:tcBorders>
              <w:top w:val="single" w:sz="4" w:space="0" w:color="000000"/>
              <w:left w:val="single" w:sz="4" w:space="0" w:color="000000"/>
              <w:bottom w:val="single" w:sz="4" w:space="0" w:color="000000"/>
            </w:tcBorders>
            <w:shd w:val="clear" w:color="auto" w:fill="auto"/>
            <w:vAlign w:val="center"/>
          </w:tcPr>
          <w:p w:rsidR="00885B9B" w:rsidRPr="00875E9E" w:rsidRDefault="00885B9B" w:rsidP="00AE4D55">
            <w:pPr>
              <w:pStyle w:val="NormalWeb"/>
              <w:autoSpaceDE w:val="0"/>
              <w:spacing w:before="0" w:after="0"/>
              <w:jc w:val="both"/>
              <w:rPr>
                <w:b/>
                <w:lang w:val="en-CA"/>
              </w:rPr>
            </w:pPr>
            <w:r w:rsidRPr="00875E9E">
              <w:rPr>
                <w:b/>
                <w:bCs/>
                <w:lang w:val="en-CA"/>
              </w:rPr>
              <w:t>Low</w:t>
            </w:r>
          </w:p>
        </w:tc>
        <w:tc>
          <w:tcPr>
            <w:tcW w:w="0" w:type="auto"/>
            <w:tcBorders>
              <w:top w:val="single" w:sz="4" w:space="0" w:color="000000"/>
              <w:left w:val="single" w:sz="4" w:space="0" w:color="000000"/>
              <w:bottom w:val="single" w:sz="4" w:space="0" w:color="000000"/>
            </w:tcBorders>
            <w:shd w:val="clear" w:color="auto" w:fill="F3F3F3"/>
            <w:vAlign w:val="center"/>
          </w:tcPr>
          <w:p w:rsidR="00885B9B" w:rsidRPr="00875E9E" w:rsidRDefault="00885B9B" w:rsidP="00AE4D55">
            <w:pPr>
              <w:pStyle w:val="NormalWeb"/>
              <w:numPr>
                <w:ilvl w:val="0"/>
                <w:numId w:val="20"/>
              </w:numPr>
              <w:autoSpaceDE w:val="0"/>
              <w:spacing w:before="0" w:after="0"/>
              <w:jc w:val="both"/>
              <w:rPr>
                <w:b/>
                <w:lang w:val="en-CA"/>
              </w:rPr>
            </w:pPr>
            <w:r w:rsidRPr="00875E9E">
              <w:rPr>
                <w:b/>
                <w:lang w:val="en-CA"/>
              </w:rPr>
              <w:t>Inefficient management of deposits (delays, protection of assets)</w:t>
            </w:r>
          </w:p>
          <w:p w:rsidR="00885B9B" w:rsidRPr="00875E9E" w:rsidRDefault="00885B9B" w:rsidP="00AE4D55">
            <w:pPr>
              <w:pStyle w:val="NormalWeb"/>
              <w:numPr>
                <w:ilvl w:val="0"/>
                <w:numId w:val="20"/>
              </w:numPr>
              <w:autoSpaceDE w:val="0"/>
              <w:spacing w:before="0" w:after="0"/>
              <w:jc w:val="both"/>
              <w:rPr>
                <w:b/>
                <w:lang w:val="en-CA"/>
              </w:rPr>
            </w:pPr>
            <w:r w:rsidRPr="00875E9E">
              <w:rPr>
                <w:b/>
                <w:lang w:val="en-CA"/>
              </w:rPr>
              <w:t>Failure to comply with year-end procedures</w:t>
            </w:r>
          </w:p>
        </w:tc>
        <w:tc>
          <w:tcPr>
            <w:tcW w:w="0" w:type="auto"/>
            <w:tcBorders>
              <w:top w:val="single" w:sz="4" w:space="0" w:color="000000"/>
              <w:left w:val="single" w:sz="4" w:space="0" w:color="000000"/>
              <w:bottom w:val="single" w:sz="4" w:space="0" w:color="000000"/>
            </w:tcBorders>
            <w:shd w:val="clear" w:color="auto" w:fill="F3F3F3"/>
            <w:vAlign w:val="center"/>
          </w:tcPr>
          <w:p w:rsidR="00885B9B" w:rsidRPr="00875E9E" w:rsidRDefault="00885B9B" w:rsidP="00AE4D55">
            <w:pPr>
              <w:pStyle w:val="NormalWeb"/>
              <w:numPr>
                <w:ilvl w:val="0"/>
                <w:numId w:val="19"/>
              </w:numPr>
              <w:autoSpaceDE w:val="0"/>
              <w:spacing w:before="0" w:after="0"/>
              <w:jc w:val="both"/>
              <w:rPr>
                <w:b/>
                <w:lang w:val="en-CA"/>
              </w:rPr>
            </w:pPr>
            <w:r w:rsidRPr="00875E9E">
              <w:rPr>
                <w:b/>
                <w:lang w:val="en-CA"/>
              </w:rPr>
              <w:t>Failure to charge interest on overdue accounts</w:t>
            </w:r>
          </w:p>
          <w:p w:rsidR="00885B9B" w:rsidRPr="00875E9E" w:rsidRDefault="00885B9B" w:rsidP="00AE4D55">
            <w:pPr>
              <w:pStyle w:val="NormalWeb"/>
              <w:numPr>
                <w:ilvl w:val="0"/>
                <w:numId w:val="19"/>
              </w:numPr>
              <w:autoSpaceDE w:val="0"/>
              <w:spacing w:before="0" w:after="0"/>
              <w:jc w:val="both"/>
              <w:rPr>
                <w:b/>
                <w:lang w:val="en-CA"/>
              </w:rPr>
            </w:pPr>
            <w:r w:rsidRPr="00875E9E">
              <w:rPr>
                <w:b/>
                <w:lang w:val="en-CA"/>
              </w:rPr>
              <w:t>Uncollectible debts not written off</w:t>
            </w:r>
          </w:p>
        </w:tc>
        <w:tc>
          <w:tcPr>
            <w:tcW w:w="0" w:type="auto"/>
            <w:tcBorders>
              <w:top w:val="single" w:sz="4" w:space="0" w:color="000000"/>
              <w:left w:val="single" w:sz="4" w:space="0" w:color="000000"/>
              <w:bottom w:val="single" w:sz="4" w:space="0" w:color="000000"/>
              <w:right w:val="single" w:sz="4" w:space="0" w:color="000000"/>
            </w:tcBorders>
            <w:shd w:val="clear" w:color="auto" w:fill="CCCCCC"/>
            <w:vAlign w:val="center"/>
          </w:tcPr>
          <w:p w:rsidR="00885B9B" w:rsidRPr="00875E9E" w:rsidRDefault="00885B9B" w:rsidP="00AE4D55">
            <w:pPr>
              <w:pStyle w:val="NormalWeb"/>
              <w:numPr>
                <w:ilvl w:val="0"/>
                <w:numId w:val="21"/>
              </w:numPr>
              <w:autoSpaceDE w:val="0"/>
              <w:spacing w:before="0" w:after="0"/>
              <w:jc w:val="both"/>
            </w:pPr>
            <w:r w:rsidRPr="00875E9E">
              <w:rPr>
                <w:b/>
                <w:lang w:val="en-CA"/>
              </w:rPr>
              <w:t xml:space="preserve">Incorrect amounts for the allowance for uncollectible debts ($) </w:t>
            </w:r>
          </w:p>
        </w:tc>
      </w:tr>
      <w:tr w:rsidR="00885B9B" w:rsidRPr="00875E9E" w:rsidTr="009E4A65">
        <w:trPr>
          <w:trHeight w:val="170"/>
        </w:trPr>
        <w:tc>
          <w:tcPr>
            <w:tcW w:w="0" w:type="auto"/>
            <w:tcBorders>
              <w:top w:val="single" w:sz="4" w:space="0" w:color="000000"/>
              <w:left w:val="single" w:sz="4" w:space="0" w:color="FFFFFF"/>
              <w:bottom w:val="single" w:sz="4" w:space="0" w:color="FFFFFF"/>
            </w:tcBorders>
            <w:shd w:val="clear" w:color="auto" w:fill="auto"/>
            <w:vAlign w:val="bottom"/>
          </w:tcPr>
          <w:p w:rsidR="00885B9B" w:rsidRPr="00875E9E" w:rsidRDefault="00885B9B" w:rsidP="00AE4D55">
            <w:pPr>
              <w:pStyle w:val="NormalWeb"/>
              <w:autoSpaceDE w:val="0"/>
              <w:spacing w:before="0" w:after="0"/>
              <w:jc w:val="both"/>
              <w:rPr>
                <w:lang w:val="en-CA"/>
              </w:rPr>
            </w:pPr>
            <w:r w:rsidRPr="00875E9E">
              <w:rPr>
                <w:lang w:val="en-CA"/>
              </w:rPr>
              <w:t> </w:t>
            </w:r>
          </w:p>
        </w:tc>
        <w:tc>
          <w:tcPr>
            <w:tcW w:w="0" w:type="auto"/>
            <w:tcBorders>
              <w:top w:val="single" w:sz="4" w:space="0" w:color="000000"/>
              <w:left w:val="single" w:sz="4" w:space="0" w:color="FFFFFF"/>
              <w:bottom w:val="single" w:sz="4" w:space="0" w:color="FFFFFF"/>
            </w:tcBorders>
            <w:shd w:val="clear" w:color="auto" w:fill="auto"/>
            <w:vAlign w:val="bottom"/>
          </w:tcPr>
          <w:p w:rsidR="00885B9B" w:rsidRPr="00875E9E" w:rsidRDefault="00885B9B" w:rsidP="00AE4D55">
            <w:pPr>
              <w:pStyle w:val="NormalWeb"/>
              <w:autoSpaceDE w:val="0"/>
              <w:spacing w:before="0" w:after="0"/>
              <w:jc w:val="both"/>
              <w:rPr>
                <w:b/>
                <w:bCs/>
                <w:lang w:val="en-CA"/>
              </w:rPr>
            </w:pPr>
            <w:r w:rsidRPr="00875E9E">
              <w:rPr>
                <w:lang w:val="en-CA"/>
              </w:rPr>
              <w:t>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85B9B" w:rsidRPr="00875E9E" w:rsidRDefault="00885B9B" w:rsidP="00AE4D55">
            <w:pPr>
              <w:pStyle w:val="NormalWeb"/>
              <w:autoSpaceDE w:val="0"/>
              <w:spacing w:before="0" w:after="0"/>
              <w:jc w:val="both"/>
            </w:pPr>
            <w:r w:rsidRPr="00875E9E">
              <w:rPr>
                <w:b/>
                <w:bCs/>
                <w:lang w:val="en-CA"/>
              </w:rPr>
              <w:t>Probability</w:t>
            </w:r>
          </w:p>
        </w:tc>
      </w:tr>
    </w:tbl>
    <w:p w:rsidR="00885B9B" w:rsidRPr="00875E9E" w:rsidRDefault="00885B9B" w:rsidP="00885B9B">
      <w:pPr>
        <w:spacing w:after="0" w:line="240" w:lineRule="auto"/>
        <w:jc w:val="both"/>
        <w:rPr>
          <w:rFonts w:ascii="Times New Roman" w:hAnsi="Times New Roman" w:cs="Times New Roman"/>
          <w:b/>
          <w:sz w:val="24"/>
          <w:szCs w:val="24"/>
        </w:rPr>
      </w:pPr>
    </w:p>
    <w:p w:rsidR="00885B9B" w:rsidRPr="00875E9E" w:rsidRDefault="00885B9B" w:rsidP="00885B9B">
      <w:pPr>
        <w:pStyle w:val="NormalWeb"/>
        <w:spacing w:after="0"/>
        <w:jc w:val="both"/>
        <w:rPr>
          <w:b/>
        </w:rPr>
      </w:pPr>
    </w:p>
    <w:p w:rsidR="00885B9B" w:rsidRPr="00875E9E" w:rsidRDefault="00885B9B" w:rsidP="00885B9B">
      <w:pPr>
        <w:pStyle w:val="NormalWeb"/>
        <w:spacing w:after="0"/>
        <w:jc w:val="both"/>
        <w:rPr>
          <w:b/>
        </w:rPr>
      </w:pPr>
      <w:r w:rsidRPr="00875E9E">
        <w:rPr>
          <w:b/>
        </w:rPr>
        <w:t xml:space="preserve">Recommendation(s): </w:t>
      </w:r>
    </w:p>
    <w:p w:rsidR="00885B9B" w:rsidRPr="00875E9E" w:rsidRDefault="00885B9B" w:rsidP="00885B9B">
      <w:pPr>
        <w:pStyle w:val="NormalWeb"/>
        <w:spacing w:after="0"/>
        <w:ind w:firstLine="420"/>
        <w:jc w:val="both"/>
        <w:rPr>
          <w:lang w:val="en-CA"/>
        </w:rPr>
      </w:pPr>
      <w:r w:rsidRPr="00875E9E">
        <w:rPr>
          <w:lang w:val="en-CA"/>
        </w:rPr>
        <w:t>1. The Assistant Deputy Minister, Finance and Corporate Branch, should:</w:t>
      </w:r>
    </w:p>
    <w:p w:rsidR="00885B9B" w:rsidRPr="00875E9E" w:rsidRDefault="00885B9B" w:rsidP="00885B9B">
      <w:pPr>
        <w:pStyle w:val="NormalWeb"/>
        <w:numPr>
          <w:ilvl w:val="0"/>
          <w:numId w:val="17"/>
        </w:numPr>
        <w:spacing w:after="0"/>
        <w:jc w:val="both"/>
        <w:rPr>
          <w:lang w:val="en-CA"/>
        </w:rPr>
      </w:pPr>
      <w:r w:rsidRPr="00875E9E">
        <w:rPr>
          <w:lang w:val="en-CA"/>
        </w:rPr>
        <w:t>take the actions necessary to recover or write off the amounts over 365 days past due.</w:t>
      </w:r>
    </w:p>
    <w:p w:rsidR="00885B9B" w:rsidRPr="00875E9E" w:rsidRDefault="00885B9B" w:rsidP="00885B9B">
      <w:pPr>
        <w:pStyle w:val="NormalWeb"/>
        <w:numPr>
          <w:ilvl w:val="0"/>
          <w:numId w:val="15"/>
        </w:numPr>
        <w:spacing w:after="0"/>
        <w:jc w:val="both"/>
        <w:rPr>
          <w:lang w:val="en-CA"/>
        </w:rPr>
      </w:pPr>
      <w:r w:rsidRPr="00875E9E">
        <w:rPr>
          <w:lang w:val="en-CA"/>
        </w:rPr>
        <w:t>Ensure that guidelines are sent to the Department’s accounting office’s concerning the management of amounts to be collected. Those guidelines should set out items such as:</w:t>
      </w:r>
    </w:p>
    <w:p w:rsidR="00885B9B" w:rsidRPr="00875E9E" w:rsidRDefault="00885B9B" w:rsidP="00885B9B">
      <w:pPr>
        <w:pStyle w:val="NormalWeb"/>
        <w:numPr>
          <w:ilvl w:val="0"/>
          <w:numId w:val="15"/>
        </w:numPr>
        <w:tabs>
          <w:tab w:val="clear" w:pos="780"/>
          <w:tab w:val="num" w:pos="1440"/>
        </w:tabs>
        <w:spacing w:after="0"/>
        <w:ind w:left="1440"/>
        <w:jc w:val="both"/>
        <w:rPr>
          <w:lang w:val="en-CA"/>
        </w:rPr>
      </w:pPr>
      <w:r w:rsidRPr="00875E9E">
        <w:rPr>
          <w:lang w:val="en-CA"/>
        </w:rPr>
        <w:t>The roles and responsibilities of the personnel responsible for collections (managers, accounting offices, Departmental Accounting); and</w:t>
      </w:r>
    </w:p>
    <w:p w:rsidR="00885B9B" w:rsidRPr="00875E9E" w:rsidRDefault="00885B9B" w:rsidP="00885B9B">
      <w:pPr>
        <w:pStyle w:val="NormalWeb"/>
        <w:numPr>
          <w:ilvl w:val="0"/>
          <w:numId w:val="15"/>
        </w:numPr>
        <w:tabs>
          <w:tab w:val="clear" w:pos="780"/>
          <w:tab w:val="num" w:pos="1440"/>
        </w:tabs>
        <w:spacing w:after="0"/>
        <w:ind w:left="1440"/>
        <w:jc w:val="both"/>
        <w:rPr>
          <w:b/>
          <w:u w:val="single"/>
          <w:lang w:val="en-CA"/>
        </w:rPr>
      </w:pPr>
      <w:r w:rsidRPr="00875E9E">
        <w:rPr>
          <w:lang w:val="en-CA"/>
        </w:rPr>
        <w:t>The methods of collection that are available and when to use them (standardize the process).</w:t>
      </w:r>
    </w:p>
    <w:p w:rsidR="00885B9B" w:rsidRPr="00875E9E" w:rsidRDefault="00885B9B" w:rsidP="00885B9B">
      <w:pPr>
        <w:pStyle w:val="NormalWeb"/>
        <w:spacing w:after="0"/>
        <w:ind w:left="1440"/>
        <w:jc w:val="both"/>
        <w:rPr>
          <w:b/>
          <w:u w:val="single"/>
          <w:lang w:val="en-CA"/>
        </w:rPr>
      </w:pPr>
    </w:p>
    <w:p w:rsidR="00885B9B" w:rsidRPr="00875E9E" w:rsidRDefault="00885B9B" w:rsidP="00885B9B">
      <w:pPr>
        <w:spacing w:after="0" w:line="240" w:lineRule="auto"/>
        <w:jc w:val="both"/>
        <w:rPr>
          <w:rFonts w:ascii="Times New Roman" w:hAnsi="Times New Roman" w:cs="Times New Roman"/>
          <w:b/>
          <w:sz w:val="24"/>
          <w:szCs w:val="24"/>
          <w:u w:val="single"/>
          <w:lang w:val="en-CA"/>
        </w:rPr>
      </w:pPr>
      <w:r w:rsidRPr="00875E9E">
        <w:rPr>
          <w:rFonts w:ascii="Times New Roman" w:hAnsi="Times New Roman" w:cs="Times New Roman"/>
          <w:b/>
          <w:sz w:val="24"/>
          <w:szCs w:val="24"/>
        </w:rPr>
        <w:t xml:space="preserve">Management Response: </w:t>
      </w:r>
      <w:r w:rsidRPr="00875E9E">
        <w:rPr>
          <w:rFonts w:ascii="Times New Roman" w:hAnsi="Times New Roman" w:cs="Times New Roman"/>
          <w:sz w:val="24"/>
          <w:szCs w:val="24"/>
          <w:lang w:val="en-CA"/>
        </w:rPr>
        <w:t>Management agreed with the recommendation and provided a detailed action plan to address it.</w:t>
      </w:r>
    </w:p>
    <w:p w:rsidR="000A72C0" w:rsidRPr="00875E9E" w:rsidRDefault="000A72C0" w:rsidP="00990DD9">
      <w:pPr>
        <w:spacing w:after="0" w:line="240" w:lineRule="auto"/>
        <w:jc w:val="both"/>
        <w:rPr>
          <w:rFonts w:ascii="Times New Roman" w:hAnsi="Times New Roman" w:cs="Times New Roman"/>
          <w:b/>
          <w:sz w:val="24"/>
          <w:szCs w:val="24"/>
        </w:rPr>
      </w:pP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Manage action plan (s)</w:t>
      </w:r>
    </w:p>
    <w:p w:rsidR="00751063" w:rsidRPr="00875E9E" w:rsidRDefault="00751063" w:rsidP="00990DD9">
      <w:pPr>
        <w:spacing w:after="0" w:line="240" w:lineRule="auto"/>
        <w:jc w:val="both"/>
        <w:rPr>
          <w:rFonts w:ascii="Times New Roman" w:hAnsi="Times New Roman" w:cs="Times New Roman"/>
          <w:b/>
          <w:sz w:val="24"/>
          <w:szCs w:val="24"/>
        </w:rPr>
      </w:pP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Responsibility</w:t>
      </w:r>
    </w:p>
    <w:p w:rsidR="00751063" w:rsidRPr="00875E9E" w:rsidRDefault="00751063" w:rsidP="00990DD9">
      <w:pPr>
        <w:spacing w:after="0" w:line="240" w:lineRule="auto"/>
        <w:jc w:val="both"/>
        <w:rPr>
          <w:rFonts w:ascii="Times New Roman" w:hAnsi="Times New Roman" w:cs="Times New Roman"/>
          <w:b/>
          <w:sz w:val="24"/>
          <w:szCs w:val="24"/>
        </w:rPr>
      </w:pP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Timeline</w:t>
      </w:r>
    </w:p>
    <w:p w:rsidR="00751063" w:rsidRPr="00875E9E" w:rsidRDefault="00751063" w:rsidP="00990DD9">
      <w:pPr>
        <w:spacing w:after="0" w:line="240" w:lineRule="auto"/>
        <w:jc w:val="both"/>
        <w:rPr>
          <w:rFonts w:ascii="Times New Roman" w:hAnsi="Times New Roman" w:cs="Times New Roman"/>
          <w:b/>
          <w:sz w:val="24"/>
          <w:szCs w:val="24"/>
        </w:rPr>
      </w:pPr>
    </w:p>
    <w:p w:rsidR="000A72C0" w:rsidRPr="00875E9E" w:rsidRDefault="000A72C0"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Show upload file</w:t>
      </w:r>
    </w:p>
    <w:p w:rsidR="00751063" w:rsidRPr="00875E9E" w:rsidRDefault="00751063" w:rsidP="00990DD9">
      <w:pPr>
        <w:spacing w:after="0" w:line="240" w:lineRule="auto"/>
        <w:jc w:val="both"/>
        <w:rPr>
          <w:rFonts w:ascii="Times New Roman" w:hAnsi="Times New Roman" w:cs="Times New Roman"/>
          <w:b/>
          <w:sz w:val="24"/>
          <w:szCs w:val="24"/>
        </w:rPr>
      </w:pPr>
    </w:p>
    <w:p w:rsidR="00751063" w:rsidRPr="00875E9E" w:rsidRDefault="00751063"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 xml:space="preserve">Finding status: </w:t>
      </w:r>
      <w:r w:rsidRPr="00875E9E">
        <w:rPr>
          <w:rFonts w:ascii="Times New Roman" w:hAnsi="Times New Roman" w:cs="Times New Roman"/>
          <w:sz w:val="24"/>
          <w:szCs w:val="24"/>
        </w:rPr>
        <w:t>Open</w:t>
      </w:r>
    </w:p>
    <w:p w:rsidR="00751063" w:rsidRPr="00875E9E" w:rsidRDefault="00751063" w:rsidP="00990DD9">
      <w:pPr>
        <w:spacing w:after="0" w:line="240" w:lineRule="auto"/>
        <w:jc w:val="both"/>
        <w:rPr>
          <w:rFonts w:ascii="Times New Roman" w:hAnsi="Times New Roman" w:cs="Times New Roman"/>
          <w:b/>
          <w:sz w:val="24"/>
          <w:szCs w:val="24"/>
        </w:rPr>
      </w:pPr>
    </w:p>
    <w:p w:rsidR="00751063" w:rsidRPr="00875E9E" w:rsidRDefault="00751063" w:rsidP="00990DD9">
      <w:pPr>
        <w:spacing w:after="0" w:line="240" w:lineRule="auto"/>
        <w:jc w:val="both"/>
        <w:rPr>
          <w:rFonts w:ascii="Times New Roman" w:hAnsi="Times New Roman" w:cs="Times New Roman"/>
          <w:sz w:val="24"/>
          <w:szCs w:val="24"/>
        </w:rPr>
      </w:pPr>
      <w:r w:rsidRPr="00875E9E">
        <w:rPr>
          <w:rFonts w:ascii="Times New Roman" w:hAnsi="Times New Roman" w:cs="Times New Roman"/>
          <w:b/>
          <w:sz w:val="24"/>
          <w:szCs w:val="24"/>
        </w:rPr>
        <w:t xml:space="preserve">Finding Type: </w:t>
      </w:r>
      <w:r w:rsidRPr="00875E9E">
        <w:rPr>
          <w:rFonts w:ascii="Times New Roman" w:hAnsi="Times New Roman" w:cs="Times New Roman"/>
          <w:sz w:val="24"/>
          <w:szCs w:val="24"/>
        </w:rPr>
        <w:t>Financial</w:t>
      </w:r>
    </w:p>
    <w:p w:rsidR="00751063" w:rsidRPr="00875E9E" w:rsidRDefault="00751063" w:rsidP="00990DD9">
      <w:pPr>
        <w:spacing w:after="0" w:line="240" w:lineRule="auto"/>
        <w:jc w:val="both"/>
        <w:rPr>
          <w:rFonts w:ascii="Times New Roman" w:hAnsi="Times New Roman" w:cs="Times New Roman"/>
          <w:b/>
          <w:sz w:val="24"/>
          <w:szCs w:val="24"/>
        </w:rPr>
      </w:pPr>
    </w:p>
    <w:p w:rsidR="00751063" w:rsidRPr="00875E9E" w:rsidRDefault="00751063" w:rsidP="00990DD9">
      <w:p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 xml:space="preserve">Finding Nature: </w:t>
      </w:r>
      <w:r w:rsidRPr="00875E9E">
        <w:rPr>
          <w:rFonts w:ascii="Times New Roman" w:hAnsi="Times New Roman" w:cs="Times New Roman"/>
          <w:sz w:val="24"/>
          <w:szCs w:val="24"/>
        </w:rPr>
        <w:t>Operational Laps</w:t>
      </w:r>
    </w:p>
    <w:p w:rsidR="00402F89" w:rsidRDefault="00D821EE" w:rsidP="00D821E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Person Responsible:</w:t>
      </w:r>
      <w:r w:rsidR="00402F89">
        <w:rPr>
          <w:rFonts w:ascii="Times New Roman" w:hAnsi="Times New Roman" w:cs="Times New Roman"/>
          <w:b/>
          <w:sz w:val="24"/>
          <w:szCs w:val="24"/>
        </w:rPr>
        <w:t xml:space="preserve">  1. </w:t>
      </w:r>
      <w:r w:rsidR="00402F89" w:rsidRPr="00402F89">
        <w:rPr>
          <w:rFonts w:ascii="Times New Roman" w:hAnsi="Times New Roman" w:cs="Times New Roman"/>
          <w:sz w:val="24"/>
          <w:szCs w:val="24"/>
        </w:rPr>
        <w:t>ABC</w:t>
      </w:r>
    </w:p>
    <w:p w:rsidR="00402F89" w:rsidRPr="00875E9E" w:rsidRDefault="00402F89" w:rsidP="00D821EE">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PQR</w:t>
      </w:r>
    </w:p>
    <w:p w:rsidR="00751063" w:rsidRPr="00875E9E" w:rsidRDefault="00751063" w:rsidP="00990DD9">
      <w:pPr>
        <w:spacing w:after="0" w:line="240" w:lineRule="auto"/>
        <w:jc w:val="both"/>
        <w:rPr>
          <w:rFonts w:ascii="Times New Roman" w:hAnsi="Times New Roman" w:cs="Times New Roman"/>
          <w:b/>
          <w:sz w:val="24"/>
          <w:szCs w:val="24"/>
        </w:rPr>
      </w:pPr>
    </w:p>
    <w:p w:rsidR="006F02F8" w:rsidRPr="00875E9E" w:rsidRDefault="006F02F8" w:rsidP="00990DD9">
      <w:pPr>
        <w:spacing w:after="0" w:line="240" w:lineRule="auto"/>
        <w:jc w:val="both"/>
        <w:rPr>
          <w:rFonts w:ascii="Times New Roman" w:hAnsi="Times New Roman" w:cs="Times New Roman"/>
          <w:b/>
          <w:sz w:val="24"/>
          <w:szCs w:val="24"/>
        </w:rPr>
      </w:pP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Purpose/ Rationale of the Audit</w:t>
      </w:r>
    </w:p>
    <w:p w:rsidR="00642333" w:rsidRPr="00875E9E" w:rsidRDefault="00642333" w:rsidP="00990DD9">
      <w:pPr>
        <w:pStyle w:val="ListParagraph"/>
        <w:spacing w:after="0" w:line="240" w:lineRule="auto"/>
        <w:ind w:left="360"/>
        <w:jc w:val="both"/>
        <w:rPr>
          <w:rFonts w:ascii="Times New Roman" w:hAnsi="Times New Roman" w:cs="Times New Roman"/>
          <w:sz w:val="24"/>
          <w:szCs w:val="24"/>
        </w:rPr>
      </w:pPr>
      <w:r w:rsidRPr="00875E9E">
        <w:rPr>
          <w:rFonts w:ascii="Times New Roman" w:hAnsi="Times New Roman" w:cs="Times New Roman"/>
          <w:sz w:val="24"/>
          <w:szCs w:val="24"/>
        </w:rPr>
        <w:t xml:space="preserve">The purpose of the audit was to ensure that Environment Canada’s accounts receivable </w:t>
      </w:r>
      <w:r w:rsidR="004C4750" w:rsidRPr="00875E9E">
        <w:rPr>
          <w:rFonts w:ascii="Times New Roman" w:hAnsi="Times New Roman" w:cs="Times New Roman"/>
          <w:sz w:val="24"/>
          <w:szCs w:val="24"/>
        </w:rPr>
        <w:t>are managed</w:t>
      </w:r>
      <w:r w:rsidRPr="00875E9E">
        <w:rPr>
          <w:rFonts w:ascii="Times New Roman" w:hAnsi="Times New Roman" w:cs="Times New Roman"/>
          <w:sz w:val="24"/>
          <w:szCs w:val="24"/>
        </w:rPr>
        <w:t xml:space="preserve"> fairly, efficiently and effectively in order to recover such receivables and minimize the risk of loss. With this in mind, the specific objectives of the audit were to evaluate the adequacy of the management control framework of accounts receivable as well as the degree to which the Department is in compliance with the applicable accounting regulations, policies and standards.</w:t>
      </w:r>
    </w:p>
    <w:p w:rsidR="00642333" w:rsidRPr="00875E9E" w:rsidRDefault="00642333" w:rsidP="00990DD9">
      <w:pPr>
        <w:pStyle w:val="ListParagraph"/>
        <w:spacing w:after="0" w:line="240" w:lineRule="auto"/>
        <w:ind w:left="360"/>
        <w:jc w:val="both"/>
        <w:rPr>
          <w:rFonts w:ascii="Times New Roman" w:hAnsi="Times New Roman" w:cs="Times New Roman"/>
          <w:sz w:val="24"/>
          <w:szCs w:val="24"/>
        </w:rPr>
      </w:pP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Executive Summary</w:t>
      </w:r>
    </w:p>
    <w:p w:rsidR="00001F9F" w:rsidRPr="00875E9E" w:rsidRDefault="005D3693" w:rsidP="00990DD9">
      <w:pPr>
        <w:spacing w:after="0" w:line="240" w:lineRule="auto"/>
        <w:ind w:left="360"/>
        <w:jc w:val="both"/>
        <w:rPr>
          <w:rFonts w:ascii="Times New Roman" w:hAnsi="Times New Roman" w:cs="Times New Roman"/>
          <w:sz w:val="24"/>
          <w:szCs w:val="24"/>
        </w:rPr>
      </w:pPr>
      <w:r w:rsidRPr="00875E9E">
        <w:rPr>
          <w:rFonts w:ascii="Times New Roman" w:hAnsi="Times New Roman" w:cs="Times New Roman"/>
          <w:sz w:val="24"/>
          <w:szCs w:val="24"/>
        </w:rPr>
        <w:t>Accounts receivable are divided into two categories: internal accounts (created for transactions with other federal departments or organizations) and external accounts (created for other types of clients). The audit dealt with both internal and external accounts receivable created during the 2007–2008 fiscal year and with accounts receivable as at April 1, 2008.  On March 31, 2008, the balance of accounts receivable was $7.6 million, $3.3 million (43.4%) of which were with external parties.</w:t>
      </w:r>
    </w:p>
    <w:p w:rsidR="005D3693" w:rsidRPr="00875E9E" w:rsidRDefault="005D3693" w:rsidP="00990DD9">
      <w:pPr>
        <w:spacing w:after="0" w:line="240" w:lineRule="auto"/>
        <w:jc w:val="both"/>
        <w:rPr>
          <w:rFonts w:ascii="Times New Roman" w:hAnsi="Times New Roman" w:cs="Times New Roman"/>
          <w:sz w:val="24"/>
          <w:szCs w:val="24"/>
        </w:rPr>
      </w:pP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Summary of Issues</w:t>
      </w:r>
    </w:p>
    <w:p w:rsidR="00446BB3" w:rsidRPr="00875E9E" w:rsidRDefault="00DA1718" w:rsidP="00990DD9">
      <w:pPr>
        <w:pStyle w:val="ListParagraph"/>
        <w:numPr>
          <w:ilvl w:val="0"/>
          <w:numId w:val="25"/>
        </w:numPr>
        <w:tabs>
          <w:tab w:val="clear" w:pos="720"/>
        </w:tabs>
        <w:spacing w:after="0" w:line="240" w:lineRule="auto"/>
        <w:jc w:val="both"/>
        <w:rPr>
          <w:rFonts w:ascii="Times New Roman" w:hAnsi="Times New Roman" w:cs="Times New Roman"/>
          <w:sz w:val="24"/>
          <w:szCs w:val="24"/>
          <w:lang w:val="en-CA"/>
        </w:rPr>
      </w:pPr>
      <w:r w:rsidRPr="00875E9E">
        <w:rPr>
          <w:rFonts w:ascii="Times New Roman" w:hAnsi="Times New Roman" w:cs="Times New Roman"/>
          <w:sz w:val="24"/>
          <w:szCs w:val="24"/>
          <w:lang w:val="en-CA"/>
        </w:rPr>
        <w:t>The main findings of the audit show that, in general, the Department’s accounts receivable are managed in accordance with the principles of due diligence and in compliance with the main requirements that govern them.</w:t>
      </w:r>
    </w:p>
    <w:p w:rsidR="00DA1718" w:rsidRPr="00875E9E" w:rsidRDefault="00DA1718" w:rsidP="00990DD9">
      <w:pPr>
        <w:pStyle w:val="ListParagraph"/>
        <w:numPr>
          <w:ilvl w:val="0"/>
          <w:numId w:val="25"/>
        </w:numPr>
        <w:tabs>
          <w:tab w:val="clear" w:pos="720"/>
        </w:tabs>
        <w:spacing w:after="0" w:line="240" w:lineRule="auto"/>
        <w:jc w:val="both"/>
        <w:rPr>
          <w:rFonts w:ascii="Times New Roman" w:hAnsi="Times New Roman" w:cs="Times New Roman"/>
          <w:sz w:val="24"/>
          <w:szCs w:val="24"/>
          <w:lang w:val="en-CA"/>
        </w:rPr>
      </w:pPr>
      <w:r w:rsidRPr="00875E9E">
        <w:rPr>
          <w:rFonts w:ascii="Times New Roman" w:hAnsi="Times New Roman" w:cs="Times New Roman"/>
          <w:sz w:val="24"/>
          <w:szCs w:val="24"/>
          <w:lang w:val="en-CA"/>
        </w:rPr>
        <w:t>However, certain processes could benefit from further review in order to improve their efficiency, fairness and consistency. For example, the Delegation of Financial Signing Authorities could be modified in order to reduce the level of approval required for the writing off of interest. Currently, the approval of the Director of Financial Policy and Operations is required to write off interest amounts that are often less than a dollar.</w:t>
      </w:r>
    </w:p>
    <w:p w:rsidR="00DA1718" w:rsidRPr="00875E9E" w:rsidRDefault="00DA1718" w:rsidP="00990DD9">
      <w:pPr>
        <w:pStyle w:val="ListParagraph"/>
        <w:numPr>
          <w:ilvl w:val="0"/>
          <w:numId w:val="25"/>
        </w:numPr>
        <w:tabs>
          <w:tab w:val="clear" w:pos="720"/>
        </w:tabs>
        <w:spacing w:after="0" w:line="240" w:lineRule="auto"/>
        <w:jc w:val="both"/>
        <w:rPr>
          <w:rFonts w:ascii="Times New Roman" w:hAnsi="Times New Roman" w:cs="Times New Roman"/>
          <w:sz w:val="24"/>
          <w:szCs w:val="24"/>
          <w:lang w:val="en-CA"/>
        </w:rPr>
      </w:pPr>
      <w:r w:rsidRPr="00875E9E">
        <w:rPr>
          <w:rFonts w:ascii="Times New Roman" w:hAnsi="Times New Roman" w:cs="Times New Roman"/>
          <w:sz w:val="24"/>
          <w:szCs w:val="24"/>
          <w:lang w:val="en-CA"/>
        </w:rPr>
        <w:t>Guidelines should also be communicated to accounting offices across the Department in order to standardize the accounts receivable management process. This subject is dealt with in greater detail in various sections of the report.</w:t>
      </w:r>
    </w:p>
    <w:p w:rsidR="00445AAE" w:rsidRPr="00875E9E" w:rsidRDefault="00445AAE" w:rsidP="00990DD9">
      <w:pPr>
        <w:pStyle w:val="ListParagraph"/>
        <w:spacing w:after="0" w:line="240" w:lineRule="auto"/>
        <w:ind w:left="360"/>
        <w:jc w:val="both"/>
        <w:rPr>
          <w:rFonts w:ascii="Times New Roman" w:hAnsi="Times New Roman" w:cs="Times New Roman"/>
          <w:sz w:val="24"/>
          <w:szCs w:val="24"/>
        </w:rPr>
      </w:pP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Project Milestones</w:t>
      </w: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Total</w:t>
      </w: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Closed</w:t>
      </w: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Closure Status</w:t>
      </w:r>
    </w:p>
    <w:p w:rsidR="001C4239" w:rsidRPr="00875E9E" w:rsidRDefault="001C4239" w:rsidP="00990DD9">
      <w:pPr>
        <w:pStyle w:val="ListParagraph"/>
        <w:numPr>
          <w:ilvl w:val="0"/>
          <w:numId w:val="3"/>
        </w:numPr>
        <w:spacing w:after="0" w:line="240" w:lineRule="auto"/>
        <w:jc w:val="both"/>
        <w:rPr>
          <w:rFonts w:ascii="Times New Roman" w:hAnsi="Times New Roman" w:cs="Times New Roman"/>
          <w:b/>
          <w:sz w:val="24"/>
          <w:szCs w:val="24"/>
        </w:rPr>
      </w:pPr>
      <w:r w:rsidRPr="00875E9E">
        <w:rPr>
          <w:rFonts w:ascii="Times New Roman" w:hAnsi="Times New Roman" w:cs="Times New Roman"/>
          <w:b/>
          <w:sz w:val="24"/>
          <w:szCs w:val="24"/>
        </w:rPr>
        <w:t>Vertical</w:t>
      </w:r>
    </w:p>
    <w:p w:rsidR="006E2033" w:rsidRPr="00875E9E" w:rsidRDefault="006E2033" w:rsidP="00990DD9">
      <w:pPr>
        <w:spacing w:after="0" w:line="240" w:lineRule="auto"/>
        <w:jc w:val="both"/>
        <w:rPr>
          <w:rFonts w:ascii="Times New Roman" w:hAnsi="Times New Roman" w:cs="Times New Roman"/>
          <w:sz w:val="24"/>
          <w:szCs w:val="24"/>
        </w:rPr>
      </w:pPr>
    </w:p>
    <w:p w:rsidR="006E2033" w:rsidRPr="00875E9E" w:rsidRDefault="006E2033" w:rsidP="00990DD9">
      <w:pPr>
        <w:spacing w:after="0" w:line="240" w:lineRule="auto"/>
        <w:jc w:val="both"/>
        <w:rPr>
          <w:rFonts w:ascii="Times New Roman" w:hAnsi="Times New Roman" w:cs="Times New Roman"/>
          <w:sz w:val="24"/>
          <w:szCs w:val="24"/>
        </w:rPr>
      </w:pPr>
    </w:p>
    <w:p w:rsidR="006E2033" w:rsidRPr="00875E9E" w:rsidRDefault="006E2033" w:rsidP="00990DD9">
      <w:pPr>
        <w:spacing w:after="0" w:line="240" w:lineRule="auto"/>
        <w:jc w:val="both"/>
        <w:rPr>
          <w:rFonts w:ascii="Times New Roman" w:hAnsi="Times New Roman" w:cs="Times New Roman"/>
          <w:sz w:val="24"/>
          <w:szCs w:val="24"/>
        </w:rPr>
      </w:pPr>
    </w:p>
    <w:sectPr w:rsidR="006E2033" w:rsidRPr="00875E9E" w:rsidSect="00A87B6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63E" w:rsidRDefault="00F8463E" w:rsidP="00242BAF">
      <w:pPr>
        <w:spacing w:after="0" w:line="240" w:lineRule="auto"/>
      </w:pPr>
      <w:r>
        <w:separator/>
      </w:r>
    </w:p>
  </w:endnote>
  <w:endnote w:type="continuationSeparator" w:id="1">
    <w:p w:rsidR="00F8463E" w:rsidRDefault="00F8463E" w:rsidP="00242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91" w:rsidRDefault="00DC0A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3E" w:rsidRDefault="0026468E" w:rsidP="0026468E">
    <w:pPr>
      <w:pStyle w:val="Footer"/>
    </w:pPr>
    <w:r>
      <w:rPr>
        <w:rFonts w:ascii="Times New Roman" w:hAnsi="Times New Roman" w:cs="Times New Roman"/>
        <w:b/>
        <w:sz w:val="24"/>
        <w:szCs w:val="24"/>
      </w:rPr>
      <w:t xml:space="preserve"> </w:t>
    </w:r>
    <w:r>
      <w:rPr>
        <w:rFonts w:ascii="Times New Roman" w:hAnsi="Times New Roman" w:cs="Times New Roman"/>
        <w:b/>
        <w:sz w:val="24"/>
        <w:szCs w:val="24"/>
      </w:rPr>
      <w:tab/>
    </w:r>
    <w:hyperlink r:id="rId1" w:history="1">
      <w:r w:rsidR="004975C7" w:rsidRPr="005F547F">
        <w:rPr>
          <w:rStyle w:val="Hyperlink"/>
          <w:rFonts w:ascii="Times New Roman" w:hAnsi="Times New Roman" w:cs="Times New Roman"/>
          <w:b/>
          <w:color w:val="1A0DAB"/>
          <w:sz w:val="24"/>
          <w:szCs w:val="24"/>
          <w:u w:val="none"/>
          <w:shd w:val="clear" w:color="auto" w:fill="FFFFFF"/>
        </w:rPr>
        <w:t>KPMG Advisory Services Private Limited</w:t>
      </w:r>
    </w:hyperlink>
    <w:r w:rsidR="004975C7" w:rsidRPr="005F547F">
      <w:rPr>
        <w:rFonts w:ascii="Times New Roman" w:hAnsi="Times New Roman" w:cs="Times New Roman"/>
        <w:b/>
        <w:sz w:val="24"/>
        <w:szCs w:val="24"/>
      </w:rPr>
      <w:t xml:space="preserve">  </w:t>
    </w:r>
    <w:r w:rsidR="004975C7" w:rsidRPr="005F547F">
      <w:tab/>
    </w:r>
    <w:sdt>
      <w:sdtPr>
        <w:id w:val="22282905"/>
        <w:docPartObj>
          <w:docPartGallery w:val="Page Numbers (Bottom of Page)"/>
          <w:docPartUnique/>
        </w:docPartObj>
      </w:sdtPr>
      <w:sdtContent>
        <w:fldSimple w:instr=" PAGE   \* MERGEFORMAT ">
          <w:r w:rsidR="00075F5F">
            <w:rPr>
              <w:noProof/>
            </w:rPr>
            <w:t>6</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91" w:rsidRDefault="00DC0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63E" w:rsidRDefault="00F8463E" w:rsidP="00242BAF">
      <w:pPr>
        <w:spacing w:after="0" w:line="240" w:lineRule="auto"/>
      </w:pPr>
      <w:r>
        <w:separator/>
      </w:r>
    </w:p>
  </w:footnote>
  <w:footnote w:type="continuationSeparator" w:id="1">
    <w:p w:rsidR="00F8463E" w:rsidRDefault="00F8463E" w:rsidP="00242B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91" w:rsidRDefault="00DC0A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E9E" w:rsidRPr="00875E9E" w:rsidRDefault="00875E9E" w:rsidP="00875E9E">
    <w:pPr>
      <w:pStyle w:val="Header"/>
      <w:pBdr>
        <w:bottom w:val="single" w:sz="6" w:space="1" w:color="000000"/>
      </w:pBdr>
      <w:rPr>
        <w:rFonts w:ascii="Times New Roman" w:hAnsi="Times New Roman" w:cs="Times New Roman"/>
        <w:b/>
        <w:sz w:val="24"/>
        <w:szCs w:val="24"/>
      </w:rPr>
    </w:pPr>
    <w:r w:rsidRPr="00875E9E">
      <w:rPr>
        <w:rFonts w:ascii="Times New Roman" w:hAnsi="Times New Roman" w:cs="Times New Roman"/>
        <w:b/>
        <w:sz w:val="24"/>
        <w:szCs w:val="24"/>
      </w:rPr>
      <w:tab/>
      <w:t>Audit of Finance &amp; accounts</w:t>
    </w:r>
  </w:p>
  <w:p w:rsidR="00875E9E" w:rsidRPr="00875E9E" w:rsidRDefault="00875E9E" w:rsidP="00875E9E">
    <w:pPr>
      <w:pStyle w:val="Header"/>
      <w:rPr>
        <w:rFonts w:ascii="Times New Roman" w:hAnsi="Times New Roman" w:cs="Times New Roman"/>
        <w:b/>
        <w:sz w:val="24"/>
        <w:szCs w:val="24"/>
      </w:rPr>
    </w:pPr>
  </w:p>
  <w:p w:rsidR="0045495F" w:rsidRPr="00875E9E" w:rsidRDefault="0045495F">
    <w:pPr>
      <w:pStyle w:val="Header"/>
      <w:rPr>
        <w:rFonts w:ascii="Times New Roman" w:hAnsi="Times New Roman" w:cs="Times New Roman"/>
        <w:b/>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91" w:rsidRDefault="00DC0A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sz w:val="24"/>
        <w:szCs w:val="24"/>
      </w:rPr>
    </w:lvl>
  </w:abstractNum>
  <w:abstractNum w:abstractNumId="1">
    <w:nsid w:val="00000005"/>
    <w:multiLevelType w:val="singleLevel"/>
    <w:tmpl w:val="00000005"/>
    <w:name w:val="WW8Num4"/>
    <w:lvl w:ilvl="0">
      <w:start w:val="1"/>
      <w:numFmt w:val="bullet"/>
      <w:lvlText w:val=""/>
      <w:lvlJc w:val="left"/>
      <w:pPr>
        <w:tabs>
          <w:tab w:val="num" w:pos="780"/>
        </w:tabs>
        <w:ind w:left="780" w:hanging="360"/>
      </w:pPr>
      <w:rPr>
        <w:rFonts w:ascii="Symbol" w:hAnsi="Symbol" w:cs="Symbol"/>
        <w:color w:val="000000"/>
        <w:sz w:val="22"/>
        <w:szCs w:val="22"/>
        <w:lang w:val="en-CA"/>
      </w:rPr>
    </w:lvl>
  </w:abstractNum>
  <w:abstractNum w:abstractNumId="2">
    <w:nsid w:val="00000008"/>
    <w:multiLevelType w:val="singleLevel"/>
    <w:tmpl w:val="00000008"/>
    <w:name w:val="WW8Num7"/>
    <w:lvl w:ilvl="0">
      <w:start w:val="1"/>
      <w:numFmt w:val="bullet"/>
      <w:lvlText w:val=""/>
      <w:lvlJc w:val="left"/>
      <w:pPr>
        <w:tabs>
          <w:tab w:val="num" w:pos="360"/>
        </w:tabs>
        <w:ind w:left="360" w:hanging="360"/>
      </w:pPr>
      <w:rPr>
        <w:rFonts w:ascii="Symbol" w:hAnsi="Symbol" w:cs="Symbol"/>
        <w:sz w:val="24"/>
        <w:szCs w:val="24"/>
      </w:rPr>
    </w:lvl>
  </w:abstractNum>
  <w:abstractNum w:abstractNumId="3">
    <w:nsid w:val="00000009"/>
    <w:multiLevelType w:val="singleLevel"/>
    <w:tmpl w:val="00000009"/>
    <w:lvl w:ilvl="0">
      <w:start w:val="1"/>
      <w:numFmt w:val="bullet"/>
      <w:lvlText w:val=""/>
      <w:lvlJc w:val="left"/>
      <w:pPr>
        <w:tabs>
          <w:tab w:val="num" w:pos="780"/>
        </w:tabs>
        <w:ind w:left="780" w:hanging="360"/>
      </w:pPr>
      <w:rPr>
        <w:rFonts w:ascii="Symbol" w:hAnsi="Symbol" w:cs="Symbol"/>
        <w:color w:val="auto"/>
        <w:sz w:val="22"/>
        <w:szCs w:val="22"/>
        <w:lang w:val="en-CA"/>
      </w:rPr>
    </w:lvl>
  </w:abstractNum>
  <w:abstractNum w:abstractNumId="4">
    <w:nsid w:val="0000000A"/>
    <w:multiLevelType w:val="multilevel"/>
    <w:tmpl w:val="0000000A"/>
    <w:name w:val="WW8Num9"/>
    <w:lvl w:ilvl="0">
      <w:start w:val="1"/>
      <w:numFmt w:val="decimal"/>
      <w:lvlText w:val="%1."/>
      <w:lvlJc w:val="left"/>
      <w:pPr>
        <w:tabs>
          <w:tab w:val="num" w:pos="990"/>
        </w:tabs>
        <w:ind w:left="990" w:hanging="360"/>
      </w:pPr>
      <w:rPr>
        <w:rFonts w:ascii="Arial" w:hAnsi="Arial" w:cs="Arial"/>
        <w:color w:val="auto"/>
        <w:sz w:val="22"/>
        <w:szCs w:val="22"/>
        <w:lang w:val="en-CA"/>
      </w:rPr>
    </w:lvl>
    <w:lvl w:ilvl="1">
      <w:start w:val="1"/>
      <w:numFmt w:val="bullet"/>
      <w:lvlText w:val="-"/>
      <w:lvlJc w:val="left"/>
      <w:pPr>
        <w:tabs>
          <w:tab w:val="num" w:pos="1440"/>
        </w:tabs>
        <w:ind w:left="1440" w:hanging="360"/>
      </w:pPr>
      <w:rPr>
        <w:rFonts w:ascii="Courier New" w:hAnsi="Courier New" w:cs="Courier New"/>
        <w:color w:val="auto"/>
        <w:sz w:val="22"/>
        <w:szCs w:val="22"/>
        <w:lang w:val="en-CA"/>
      </w:rPr>
    </w:lvl>
    <w:lvl w:ilvl="2">
      <w:start w:val="1"/>
      <w:numFmt w:val="decimal"/>
      <w:lvlText w:val="%3."/>
      <w:lvlJc w:val="left"/>
      <w:pPr>
        <w:tabs>
          <w:tab w:val="num" w:pos="2160"/>
        </w:tabs>
        <w:ind w:left="2160" w:hanging="360"/>
      </w:pPr>
      <w:rPr>
        <w:rFonts w:ascii="Arial" w:hAnsi="Arial" w:cs="Arial"/>
        <w:color w:val="auto"/>
        <w:sz w:val="22"/>
        <w:szCs w:val="22"/>
        <w:lang w:val="en-CA"/>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C"/>
    <w:multiLevelType w:val="singleLevel"/>
    <w:tmpl w:val="0000000C"/>
    <w:name w:val="WW8Num11"/>
    <w:lvl w:ilvl="0">
      <w:start w:val="1"/>
      <w:numFmt w:val="bullet"/>
      <w:lvlText w:val=""/>
      <w:lvlJc w:val="left"/>
      <w:pPr>
        <w:tabs>
          <w:tab w:val="num" w:pos="360"/>
        </w:tabs>
        <w:ind w:left="360" w:hanging="360"/>
      </w:pPr>
      <w:rPr>
        <w:rFonts w:ascii="Symbol" w:hAnsi="Symbol" w:cs="Symbol"/>
        <w:sz w:val="20"/>
        <w:szCs w:val="20"/>
        <w:lang w:val="en-CA"/>
      </w:rPr>
    </w:lvl>
  </w:abstractNum>
  <w:abstractNum w:abstractNumId="6">
    <w:nsid w:val="00000011"/>
    <w:multiLevelType w:val="singleLevel"/>
    <w:tmpl w:val="00000011"/>
    <w:name w:val="WW8Num16"/>
    <w:lvl w:ilvl="0">
      <w:start w:val="1"/>
      <w:numFmt w:val="bullet"/>
      <w:lvlText w:val=""/>
      <w:lvlJc w:val="left"/>
      <w:pPr>
        <w:tabs>
          <w:tab w:val="num" w:pos="780"/>
        </w:tabs>
        <w:ind w:left="780" w:hanging="360"/>
      </w:pPr>
      <w:rPr>
        <w:rFonts w:ascii="Symbol" w:hAnsi="Symbol" w:cs="Symbol"/>
        <w:color w:val="auto"/>
        <w:sz w:val="22"/>
        <w:szCs w:val="22"/>
        <w:lang w:val="en-CA"/>
      </w:rPr>
    </w:lvl>
  </w:abstractNum>
  <w:abstractNum w:abstractNumId="7">
    <w:nsid w:val="00000012"/>
    <w:multiLevelType w:val="singleLevel"/>
    <w:tmpl w:val="00000012"/>
    <w:name w:val="WW8Num17"/>
    <w:lvl w:ilvl="0">
      <w:start w:val="1"/>
      <w:numFmt w:val="bullet"/>
      <w:lvlText w:val=""/>
      <w:lvlJc w:val="left"/>
      <w:pPr>
        <w:tabs>
          <w:tab w:val="num" w:pos="360"/>
        </w:tabs>
        <w:ind w:left="360" w:hanging="360"/>
      </w:pPr>
      <w:rPr>
        <w:rFonts w:ascii="Symbol" w:hAnsi="Symbol" w:cs="Symbol"/>
        <w:sz w:val="24"/>
        <w:szCs w:val="24"/>
      </w:rPr>
    </w:lvl>
  </w:abstractNum>
  <w:abstractNum w:abstractNumId="8">
    <w:nsid w:val="08346BDC"/>
    <w:multiLevelType w:val="singleLevel"/>
    <w:tmpl w:val="02B06618"/>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0B4E5AB2"/>
    <w:multiLevelType w:val="hybridMultilevel"/>
    <w:tmpl w:val="3E36059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0C2769CA"/>
    <w:multiLevelType w:val="hybridMultilevel"/>
    <w:tmpl w:val="3B269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3AD7610"/>
    <w:multiLevelType w:val="singleLevel"/>
    <w:tmpl w:val="CE96ECE8"/>
    <w:lvl w:ilvl="0">
      <w:start w:val="1"/>
      <w:numFmt w:val="bullet"/>
      <w:lvlText w:val=""/>
      <w:lvlJc w:val="left"/>
      <w:pPr>
        <w:tabs>
          <w:tab w:val="num" w:pos="340"/>
        </w:tabs>
        <w:ind w:left="340" w:hanging="340"/>
      </w:pPr>
      <w:rPr>
        <w:rFonts w:ascii="Symbol" w:hAnsi="Symbol" w:hint="default"/>
        <w:color w:val="auto"/>
        <w:sz w:val="22"/>
      </w:rPr>
    </w:lvl>
  </w:abstractNum>
  <w:abstractNum w:abstractNumId="12">
    <w:nsid w:val="25E463C7"/>
    <w:multiLevelType w:val="hybridMultilevel"/>
    <w:tmpl w:val="3E6894F8"/>
    <w:lvl w:ilvl="0" w:tplc="00000009">
      <w:start w:val="1"/>
      <w:numFmt w:val="bullet"/>
      <w:lvlText w:val=""/>
      <w:lvlJc w:val="left"/>
      <w:pPr>
        <w:tabs>
          <w:tab w:val="num" w:pos="720"/>
        </w:tabs>
        <w:ind w:left="720" w:hanging="360"/>
      </w:pPr>
      <w:rPr>
        <w:rFonts w:ascii="Symbol" w:hAnsi="Symbol" w:cs="Symbol"/>
        <w:color w:val="auto"/>
        <w:sz w:val="22"/>
        <w:szCs w:val="22"/>
        <w:lang w:val="en-CA"/>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267B660E"/>
    <w:multiLevelType w:val="hybridMultilevel"/>
    <w:tmpl w:val="DD36F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D9284F"/>
    <w:multiLevelType w:val="singleLevel"/>
    <w:tmpl w:val="0FCEB586"/>
    <w:lvl w:ilvl="0">
      <w:start w:val="1"/>
      <w:numFmt w:val="bullet"/>
      <w:lvlText w:val=""/>
      <w:lvlJc w:val="left"/>
      <w:pPr>
        <w:tabs>
          <w:tab w:val="num" w:pos="340"/>
        </w:tabs>
        <w:ind w:left="340" w:hanging="340"/>
      </w:pPr>
      <w:rPr>
        <w:rFonts w:ascii="Symbol" w:hAnsi="Symbol" w:hint="default"/>
        <w:color w:val="auto"/>
        <w:sz w:val="22"/>
      </w:rPr>
    </w:lvl>
  </w:abstractNum>
  <w:abstractNum w:abstractNumId="15">
    <w:nsid w:val="3DFE0619"/>
    <w:multiLevelType w:val="hybridMultilevel"/>
    <w:tmpl w:val="3922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D46687"/>
    <w:multiLevelType w:val="hybridMultilevel"/>
    <w:tmpl w:val="39D02CDC"/>
    <w:lvl w:ilvl="0" w:tplc="3D9E30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D4D7C"/>
    <w:multiLevelType w:val="singleLevel"/>
    <w:tmpl w:val="2A9AD3A2"/>
    <w:lvl w:ilvl="0">
      <w:start w:val="1"/>
      <w:numFmt w:val="bullet"/>
      <w:lvlText w:val=""/>
      <w:lvlJc w:val="left"/>
      <w:pPr>
        <w:tabs>
          <w:tab w:val="num" w:pos="340"/>
        </w:tabs>
        <w:ind w:left="340" w:hanging="340"/>
      </w:pPr>
      <w:rPr>
        <w:rFonts w:ascii="Symbol" w:hAnsi="Symbol" w:hint="default"/>
        <w:color w:val="auto"/>
        <w:sz w:val="22"/>
      </w:rPr>
    </w:lvl>
  </w:abstractNum>
  <w:abstractNum w:abstractNumId="18">
    <w:nsid w:val="471419D5"/>
    <w:multiLevelType w:val="hybridMultilevel"/>
    <w:tmpl w:val="3B269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B0C5D15"/>
    <w:multiLevelType w:val="singleLevel"/>
    <w:tmpl w:val="E3D26DB8"/>
    <w:lvl w:ilvl="0">
      <w:start w:val="1"/>
      <w:numFmt w:val="bullet"/>
      <w:lvlText w:val=""/>
      <w:lvlJc w:val="left"/>
      <w:pPr>
        <w:tabs>
          <w:tab w:val="num" w:pos="340"/>
        </w:tabs>
        <w:ind w:left="340" w:hanging="340"/>
      </w:pPr>
      <w:rPr>
        <w:rFonts w:ascii="Symbol" w:hAnsi="Symbol" w:hint="default"/>
        <w:color w:val="auto"/>
        <w:sz w:val="22"/>
      </w:rPr>
    </w:lvl>
  </w:abstractNum>
  <w:abstractNum w:abstractNumId="20">
    <w:nsid w:val="5AF10B6B"/>
    <w:multiLevelType w:val="hybridMultilevel"/>
    <w:tmpl w:val="6B8C43FA"/>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21">
    <w:nsid w:val="5E7D2C96"/>
    <w:multiLevelType w:val="singleLevel"/>
    <w:tmpl w:val="8A4AB6F8"/>
    <w:lvl w:ilvl="0">
      <w:start w:val="1"/>
      <w:numFmt w:val="bullet"/>
      <w:lvlText w:val=""/>
      <w:lvlJc w:val="left"/>
      <w:pPr>
        <w:tabs>
          <w:tab w:val="num" w:pos="340"/>
        </w:tabs>
        <w:ind w:left="340" w:hanging="340"/>
      </w:pPr>
      <w:rPr>
        <w:rFonts w:ascii="Symbol" w:hAnsi="Symbol" w:hint="default"/>
        <w:color w:val="auto"/>
        <w:sz w:val="22"/>
      </w:rPr>
    </w:lvl>
  </w:abstractNum>
  <w:abstractNum w:abstractNumId="22">
    <w:nsid w:val="621B6A6C"/>
    <w:multiLevelType w:val="singleLevel"/>
    <w:tmpl w:val="7F3CB7C0"/>
    <w:lvl w:ilvl="0">
      <w:start w:val="1"/>
      <w:numFmt w:val="bullet"/>
      <w:lvlText w:val=""/>
      <w:lvlJc w:val="left"/>
      <w:pPr>
        <w:tabs>
          <w:tab w:val="num" w:pos="340"/>
        </w:tabs>
        <w:ind w:left="340" w:hanging="340"/>
      </w:pPr>
      <w:rPr>
        <w:rFonts w:ascii="Symbol" w:hAnsi="Symbol" w:hint="default"/>
        <w:color w:val="auto"/>
        <w:sz w:val="22"/>
      </w:rPr>
    </w:lvl>
  </w:abstractNum>
  <w:abstractNum w:abstractNumId="23">
    <w:nsid w:val="70147F95"/>
    <w:multiLevelType w:val="hybridMultilevel"/>
    <w:tmpl w:val="B916F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1738FC"/>
    <w:multiLevelType w:val="singleLevel"/>
    <w:tmpl w:val="03A4FBDC"/>
    <w:lvl w:ilvl="0">
      <w:start w:val="1"/>
      <w:numFmt w:val="bullet"/>
      <w:lvlText w:val=""/>
      <w:lvlJc w:val="left"/>
      <w:pPr>
        <w:tabs>
          <w:tab w:val="num" w:pos="340"/>
        </w:tabs>
        <w:ind w:left="340" w:hanging="340"/>
      </w:pPr>
      <w:rPr>
        <w:rFonts w:ascii="Symbol" w:hAnsi="Symbol" w:hint="default"/>
        <w:color w:val="auto"/>
        <w:sz w:val="22"/>
      </w:rPr>
    </w:lvl>
  </w:abstractNum>
  <w:num w:numId="1">
    <w:abstractNumId w:val="20"/>
  </w:num>
  <w:num w:numId="2">
    <w:abstractNumId w:val="10"/>
  </w:num>
  <w:num w:numId="3">
    <w:abstractNumId w:val="23"/>
  </w:num>
  <w:num w:numId="4">
    <w:abstractNumId w:val="14"/>
  </w:num>
  <w:num w:numId="5">
    <w:abstractNumId w:val="18"/>
  </w:num>
  <w:num w:numId="6">
    <w:abstractNumId w:val="8"/>
  </w:num>
  <w:num w:numId="7">
    <w:abstractNumId w:val="11"/>
  </w:num>
  <w:num w:numId="8">
    <w:abstractNumId w:val="17"/>
  </w:num>
  <w:num w:numId="9">
    <w:abstractNumId w:val="19"/>
  </w:num>
  <w:num w:numId="10">
    <w:abstractNumId w:val="24"/>
  </w:num>
  <w:num w:numId="11">
    <w:abstractNumId w:val="21"/>
  </w:num>
  <w:num w:numId="12">
    <w:abstractNumId w:val="22"/>
  </w:num>
  <w:num w:numId="13">
    <w:abstractNumId w:val="16"/>
  </w:num>
  <w:num w:numId="14">
    <w:abstractNumId w:val="1"/>
  </w:num>
  <w:num w:numId="15">
    <w:abstractNumId w:val="3"/>
  </w:num>
  <w:num w:numId="16">
    <w:abstractNumId w:val="4"/>
  </w:num>
  <w:num w:numId="17">
    <w:abstractNumId w:val="6"/>
  </w:num>
  <w:num w:numId="18">
    <w:abstractNumId w:val="0"/>
  </w:num>
  <w:num w:numId="19">
    <w:abstractNumId w:val="2"/>
  </w:num>
  <w:num w:numId="20">
    <w:abstractNumId w:val="5"/>
  </w:num>
  <w:num w:numId="21">
    <w:abstractNumId w:val="7"/>
  </w:num>
  <w:num w:numId="22">
    <w:abstractNumId w:val="15"/>
  </w:num>
  <w:num w:numId="23">
    <w:abstractNumId w:val="13"/>
  </w:num>
  <w:num w:numId="24">
    <w:abstractNumId w:val="9"/>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colormenu v:ext="edit" fillcolor="none [2404]" strokecolor="none [2404]"/>
    </o:shapedefaults>
  </w:hdrShapeDefaults>
  <w:footnotePr>
    <w:footnote w:id="0"/>
    <w:footnote w:id="1"/>
  </w:footnotePr>
  <w:endnotePr>
    <w:endnote w:id="0"/>
    <w:endnote w:id="1"/>
  </w:endnotePr>
  <w:compat/>
  <w:rsids>
    <w:rsidRoot w:val="00974FAB"/>
    <w:rsid w:val="00001F9F"/>
    <w:rsid w:val="000106A5"/>
    <w:rsid w:val="00023081"/>
    <w:rsid w:val="000306FC"/>
    <w:rsid w:val="00075F5F"/>
    <w:rsid w:val="00093097"/>
    <w:rsid w:val="000A72C0"/>
    <w:rsid w:val="00101BBB"/>
    <w:rsid w:val="001033AF"/>
    <w:rsid w:val="00122405"/>
    <w:rsid w:val="00123F6A"/>
    <w:rsid w:val="001444E5"/>
    <w:rsid w:val="00165032"/>
    <w:rsid w:val="00191A9D"/>
    <w:rsid w:val="001B0B0E"/>
    <w:rsid w:val="001C4239"/>
    <w:rsid w:val="001C6075"/>
    <w:rsid w:val="001E300E"/>
    <w:rsid w:val="001E3560"/>
    <w:rsid w:val="001E3E48"/>
    <w:rsid w:val="001F781C"/>
    <w:rsid w:val="00211C12"/>
    <w:rsid w:val="002165BC"/>
    <w:rsid w:val="0023283C"/>
    <w:rsid w:val="00233A95"/>
    <w:rsid w:val="00242BAF"/>
    <w:rsid w:val="002552EE"/>
    <w:rsid w:val="0026468E"/>
    <w:rsid w:val="00265C0E"/>
    <w:rsid w:val="0028592E"/>
    <w:rsid w:val="002868AB"/>
    <w:rsid w:val="002E7F6B"/>
    <w:rsid w:val="002F69F9"/>
    <w:rsid w:val="00300C2E"/>
    <w:rsid w:val="003152E0"/>
    <w:rsid w:val="003342BA"/>
    <w:rsid w:val="003471BA"/>
    <w:rsid w:val="003655EF"/>
    <w:rsid w:val="003778F0"/>
    <w:rsid w:val="00386C50"/>
    <w:rsid w:val="003B4CC2"/>
    <w:rsid w:val="003D118A"/>
    <w:rsid w:val="00402F89"/>
    <w:rsid w:val="0040434E"/>
    <w:rsid w:val="00407570"/>
    <w:rsid w:val="004129FE"/>
    <w:rsid w:val="00422DF8"/>
    <w:rsid w:val="0043780C"/>
    <w:rsid w:val="00445AAE"/>
    <w:rsid w:val="00446BB3"/>
    <w:rsid w:val="00447C3C"/>
    <w:rsid w:val="0045495F"/>
    <w:rsid w:val="00466046"/>
    <w:rsid w:val="00473497"/>
    <w:rsid w:val="004752F9"/>
    <w:rsid w:val="004975C7"/>
    <w:rsid w:val="004A38E9"/>
    <w:rsid w:val="004A4003"/>
    <w:rsid w:val="004C259A"/>
    <w:rsid w:val="004C4750"/>
    <w:rsid w:val="004F62A3"/>
    <w:rsid w:val="0050423E"/>
    <w:rsid w:val="005116F0"/>
    <w:rsid w:val="005251AF"/>
    <w:rsid w:val="00530F2E"/>
    <w:rsid w:val="00532E04"/>
    <w:rsid w:val="005518F9"/>
    <w:rsid w:val="00554EA6"/>
    <w:rsid w:val="00561560"/>
    <w:rsid w:val="005622E2"/>
    <w:rsid w:val="00572BAC"/>
    <w:rsid w:val="00587266"/>
    <w:rsid w:val="0058797C"/>
    <w:rsid w:val="005B1011"/>
    <w:rsid w:val="005B3AE4"/>
    <w:rsid w:val="005D2E2C"/>
    <w:rsid w:val="005D3693"/>
    <w:rsid w:val="005F547F"/>
    <w:rsid w:val="005F6153"/>
    <w:rsid w:val="0061641C"/>
    <w:rsid w:val="006241BA"/>
    <w:rsid w:val="00630ED7"/>
    <w:rsid w:val="0063197E"/>
    <w:rsid w:val="00642333"/>
    <w:rsid w:val="0064784C"/>
    <w:rsid w:val="00653E94"/>
    <w:rsid w:val="00667D2E"/>
    <w:rsid w:val="00691121"/>
    <w:rsid w:val="00692746"/>
    <w:rsid w:val="00694F8F"/>
    <w:rsid w:val="00697F4A"/>
    <w:rsid w:val="006A0EF3"/>
    <w:rsid w:val="006D3867"/>
    <w:rsid w:val="006D54B4"/>
    <w:rsid w:val="006E2033"/>
    <w:rsid w:val="006E2FC9"/>
    <w:rsid w:val="006F02F8"/>
    <w:rsid w:val="006F2241"/>
    <w:rsid w:val="00737BBA"/>
    <w:rsid w:val="00744602"/>
    <w:rsid w:val="00746297"/>
    <w:rsid w:val="00750B2C"/>
    <w:rsid w:val="00751063"/>
    <w:rsid w:val="0075359B"/>
    <w:rsid w:val="007603F9"/>
    <w:rsid w:val="00767F8D"/>
    <w:rsid w:val="00774D49"/>
    <w:rsid w:val="00775EAB"/>
    <w:rsid w:val="00790C8A"/>
    <w:rsid w:val="007B023B"/>
    <w:rsid w:val="007C32FE"/>
    <w:rsid w:val="007F318D"/>
    <w:rsid w:val="00802AA9"/>
    <w:rsid w:val="00805A10"/>
    <w:rsid w:val="00810A39"/>
    <w:rsid w:val="0082029C"/>
    <w:rsid w:val="00833F1C"/>
    <w:rsid w:val="008341F6"/>
    <w:rsid w:val="0087083F"/>
    <w:rsid w:val="00870ECD"/>
    <w:rsid w:val="00875E9E"/>
    <w:rsid w:val="00885B9B"/>
    <w:rsid w:val="00886396"/>
    <w:rsid w:val="0089610B"/>
    <w:rsid w:val="008B64E8"/>
    <w:rsid w:val="008C52C7"/>
    <w:rsid w:val="008C56C9"/>
    <w:rsid w:val="008D62D3"/>
    <w:rsid w:val="008D79D1"/>
    <w:rsid w:val="00922275"/>
    <w:rsid w:val="00934122"/>
    <w:rsid w:val="00965BD6"/>
    <w:rsid w:val="00974FAB"/>
    <w:rsid w:val="00985FA9"/>
    <w:rsid w:val="0099092D"/>
    <w:rsid w:val="00990DD9"/>
    <w:rsid w:val="009A448C"/>
    <w:rsid w:val="009B074F"/>
    <w:rsid w:val="009B1164"/>
    <w:rsid w:val="009B11C7"/>
    <w:rsid w:val="009B3717"/>
    <w:rsid w:val="009E4A65"/>
    <w:rsid w:val="00A0031A"/>
    <w:rsid w:val="00A12081"/>
    <w:rsid w:val="00A2630E"/>
    <w:rsid w:val="00A336F7"/>
    <w:rsid w:val="00A66F98"/>
    <w:rsid w:val="00A71781"/>
    <w:rsid w:val="00A83939"/>
    <w:rsid w:val="00A8490A"/>
    <w:rsid w:val="00A87B64"/>
    <w:rsid w:val="00A908F3"/>
    <w:rsid w:val="00A92A11"/>
    <w:rsid w:val="00AA0871"/>
    <w:rsid w:val="00AB5E89"/>
    <w:rsid w:val="00AB7C81"/>
    <w:rsid w:val="00AE498E"/>
    <w:rsid w:val="00AE4BCD"/>
    <w:rsid w:val="00AF6F67"/>
    <w:rsid w:val="00B153C7"/>
    <w:rsid w:val="00B404E6"/>
    <w:rsid w:val="00B46E65"/>
    <w:rsid w:val="00B576C8"/>
    <w:rsid w:val="00B634C4"/>
    <w:rsid w:val="00B63C29"/>
    <w:rsid w:val="00B7391A"/>
    <w:rsid w:val="00B81D64"/>
    <w:rsid w:val="00B85036"/>
    <w:rsid w:val="00B96ED4"/>
    <w:rsid w:val="00BC55AB"/>
    <w:rsid w:val="00BD5382"/>
    <w:rsid w:val="00BE5E66"/>
    <w:rsid w:val="00C02751"/>
    <w:rsid w:val="00C0376C"/>
    <w:rsid w:val="00C058B8"/>
    <w:rsid w:val="00C3275D"/>
    <w:rsid w:val="00C42C02"/>
    <w:rsid w:val="00C4449A"/>
    <w:rsid w:val="00C867F5"/>
    <w:rsid w:val="00CC1978"/>
    <w:rsid w:val="00CD235A"/>
    <w:rsid w:val="00CD4CC7"/>
    <w:rsid w:val="00CE1312"/>
    <w:rsid w:val="00D14A3E"/>
    <w:rsid w:val="00D14AED"/>
    <w:rsid w:val="00D14CF2"/>
    <w:rsid w:val="00D17959"/>
    <w:rsid w:val="00D36FC7"/>
    <w:rsid w:val="00D57CD6"/>
    <w:rsid w:val="00D81B93"/>
    <w:rsid w:val="00D82107"/>
    <w:rsid w:val="00D821EE"/>
    <w:rsid w:val="00DA1718"/>
    <w:rsid w:val="00DB0DCF"/>
    <w:rsid w:val="00DC0A91"/>
    <w:rsid w:val="00DD36C1"/>
    <w:rsid w:val="00DF2343"/>
    <w:rsid w:val="00DF3951"/>
    <w:rsid w:val="00DF7DFF"/>
    <w:rsid w:val="00E07C96"/>
    <w:rsid w:val="00E10F95"/>
    <w:rsid w:val="00E23D0B"/>
    <w:rsid w:val="00E365A2"/>
    <w:rsid w:val="00E43170"/>
    <w:rsid w:val="00E5231E"/>
    <w:rsid w:val="00E63B4C"/>
    <w:rsid w:val="00E75311"/>
    <w:rsid w:val="00EA18DB"/>
    <w:rsid w:val="00ED32B5"/>
    <w:rsid w:val="00EE77C6"/>
    <w:rsid w:val="00EF4CBC"/>
    <w:rsid w:val="00EF6634"/>
    <w:rsid w:val="00EF78A2"/>
    <w:rsid w:val="00F3562B"/>
    <w:rsid w:val="00F46BAE"/>
    <w:rsid w:val="00F643B0"/>
    <w:rsid w:val="00F75F49"/>
    <w:rsid w:val="00F8463E"/>
    <w:rsid w:val="00FA023B"/>
    <w:rsid w:val="00FD26D7"/>
    <w:rsid w:val="00FD7E28"/>
    <w:rsid w:val="00FF04A5"/>
    <w:rsid w:val="00FF14E4"/>
    <w:rsid w:val="00FF7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2404]" stroke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1C12"/>
    <w:pPr>
      <w:spacing w:before="130" w:after="130" w:line="260" w:lineRule="atLeast"/>
    </w:pPr>
    <w:rPr>
      <w:rFonts w:ascii="Times New Roman" w:eastAsia="MS Mincho" w:hAnsi="Times New Roman" w:cs="Times New Roman"/>
      <w:szCs w:val="20"/>
      <w:lang w:eastAsia="ja-JP"/>
    </w:rPr>
  </w:style>
  <w:style w:type="character" w:customStyle="1" w:styleId="BodyTextChar">
    <w:name w:val="Body Text Char"/>
    <w:basedOn w:val="DefaultParagraphFont"/>
    <w:link w:val="BodyText"/>
    <w:rsid w:val="00211C12"/>
    <w:rPr>
      <w:rFonts w:ascii="Times New Roman" w:eastAsia="MS Mincho" w:hAnsi="Times New Roman" w:cs="Times New Roman"/>
      <w:szCs w:val="20"/>
      <w:lang w:eastAsia="ja-JP"/>
    </w:rPr>
  </w:style>
  <w:style w:type="table" w:styleId="TableGrid">
    <w:name w:val="Table Grid"/>
    <w:basedOn w:val="TableNormal"/>
    <w:uiPriority w:val="59"/>
    <w:rsid w:val="00A908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64E8"/>
    <w:pPr>
      <w:ind w:left="720"/>
      <w:contextualSpacing/>
    </w:pPr>
  </w:style>
  <w:style w:type="character" w:styleId="PageNumber">
    <w:name w:val="page number"/>
    <w:rsid w:val="00B96ED4"/>
    <w:rPr>
      <w:sz w:val="22"/>
    </w:rPr>
  </w:style>
  <w:style w:type="character" w:customStyle="1" w:styleId="FootnoteCharacters">
    <w:name w:val="Footnote Characters"/>
    <w:basedOn w:val="DefaultParagraphFont"/>
    <w:rsid w:val="00242BAF"/>
    <w:rPr>
      <w:vertAlign w:val="superscript"/>
    </w:rPr>
  </w:style>
  <w:style w:type="paragraph" w:styleId="NormalWeb">
    <w:name w:val="Normal (Web)"/>
    <w:basedOn w:val="Normal"/>
    <w:rsid w:val="00242BAF"/>
    <w:pPr>
      <w:suppressAutoHyphens/>
      <w:spacing w:before="100" w:after="100" w:line="240" w:lineRule="auto"/>
    </w:pPr>
    <w:rPr>
      <w:rFonts w:ascii="Times New Roman" w:eastAsia="Times New Roman" w:hAnsi="Times New Roman" w:cs="Times New Roman"/>
      <w:sz w:val="24"/>
      <w:szCs w:val="24"/>
      <w:lang w:eastAsia="zh-CN"/>
    </w:rPr>
  </w:style>
  <w:style w:type="paragraph" w:styleId="FootnoteText">
    <w:name w:val="footnote text"/>
    <w:basedOn w:val="Normal"/>
    <w:link w:val="FootnoteTextChar"/>
    <w:rsid w:val="00242BAF"/>
    <w:pPr>
      <w:suppressAutoHyphens/>
      <w:overflowPunct w:val="0"/>
      <w:autoSpaceDE w:val="0"/>
      <w:spacing w:after="0" w:line="240" w:lineRule="auto"/>
      <w:textAlignment w:val="baseline"/>
    </w:pPr>
    <w:rPr>
      <w:rFonts w:ascii="Arial" w:eastAsia="Times New Roman" w:hAnsi="Arial" w:cs="Arial"/>
      <w:sz w:val="20"/>
      <w:szCs w:val="20"/>
      <w:lang w:val="en-GB" w:eastAsia="zh-CN"/>
    </w:rPr>
  </w:style>
  <w:style w:type="character" w:customStyle="1" w:styleId="FootnoteTextChar">
    <w:name w:val="Footnote Text Char"/>
    <w:basedOn w:val="DefaultParagraphFont"/>
    <w:link w:val="FootnoteText"/>
    <w:rsid w:val="00242BAF"/>
    <w:rPr>
      <w:rFonts w:ascii="Arial" w:eastAsia="Times New Roman" w:hAnsi="Arial" w:cs="Arial"/>
      <w:sz w:val="20"/>
      <w:szCs w:val="20"/>
      <w:lang w:val="en-GB" w:eastAsia="zh-CN"/>
    </w:rPr>
  </w:style>
  <w:style w:type="paragraph" w:styleId="Header">
    <w:name w:val="header"/>
    <w:basedOn w:val="Normal"/>
    <w:link w:val="HeaderChar"/>
    <w:unhideWhenUsed/>
    <w:rsid w:val="001E35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3560"/>
  </w:style>
  <w:style w:type="paragraph" w:styleId="Footer">
    <w:name w:val="footer"/>
    <w:basedOn w:val="Normal"/>
    <w:link w:val="FooterChar"/>
    <w:uiPriority w:val="99"/>
    <w:unhideWhenUsed/>
    <w:rsid w:val="001E3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60"/>
  </w:style>
  <w:style w:type="paragraph" w:styleId="BalloonText">
    <w:name w:val="Balloon Text"/>
    <w:basedOn w:val="Normal"/>
    <w:link w:val="BalloonTextChar"/>
    <w:uiPriority w:val="99"/>
    <w:semiHidden/>
    <w:unhideWhenUsed/>
    <w:rsid w:val="0045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95F"/>
    <w:rPr>
      <w:rFonts w:ascii="Tahoma" w:hAnsi="Tahoma" w:cs="Tahoma"/>
      <w:sz w:val="16"/>
      <w:szCs w:val="16"/>
    </w:rPr>
  </w:style>
  <w:style w:type="character" w:styleId="Hyperlink">
    <w:name w:val="Hyperlink"/>
    <w:basedOn w:val="DefaultParagraphFont"/>
    <w:uiPriority w:val="99"/>
    <w:semiHidden/>
    <w:unhideWhenUsed/>
    <w:rsid w:val="0082029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google.com/search?sxsrf=ALeKk00-J3RgZrk1YWFznRg7V6Row9qJbQ:1585819306258&amp;q=KPMG+Advisory+Services+Private+Limited&amp;stick=H4sIAAAAAAAAAOPgE-LVT9c3NEw2NzHOSLcoVIJw0yoNS-LLilK0NDPKrfST83NyUpNLMvPz9POL0hPzMqsSQZxiq-LSpOLMlMzEoszU4kWsat4Bvu4KjillmcX5RZUKwalFZZnJqcUKAUWZZYklqQo-mbmZJakpO1gZARDMqR53AAAA&amp;sa=X&amp;ved=2ahUKEwjtubWjtcnoAhXI4zgGHUwiCvwQmxMoATAPegQIDBAD&amp;sxsrf=ALeKk00-J3RgZrk1YWFznRg7V6Row9qJbQ:1585819306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E7CBD-0373-4A9F-BA98-50ADB88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214</cp:revision>
  <dcterms:created xsi:type="dcterms:W3CDTF">2020-03-27T03:33:00Z</dcterms:created>
  <dcterms:modified xsi:type="dcterms:W3CDTF">2020-04-03T11:45:00Z</dcterms:modified>
</cp:coreProperties>
</file>