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120" w:before="0"/>
        <w:jc w:val="center"/>
      </w:pPr>
      <w:r>
        <w:rPr>
          <w:rFonts w:ascii="Arial" w:cs="Arial" w:eastAsia="Arial" w:hAnsi="Arial"/>
          <w:b/>
          <w:bCs/>
          <w:color w:val="1B3A6B"/>
          <w:sz w:val="72"/>
          <w:szCs w:val="72"/>
        </w:rPr>
        <w:t xml:space="preserve">GeneTranslate</w:t>
      </w:r>
    </w:p>
    <w:p>
      <w:pPr>
        <w:spacing w:after="80" w:before="0"/>
        <w:jc w:val="center"/>
      </w:pPr>
      <w:r>
        <w:rPr>
          <w:rFonts w:ascii="Arial" w:cs="Arial" w:eastAsia="Arial" w:hAnsi="Arial"/>
          <w:color w:val="0F6E56"/>
          <w:sz w:val="36"/>
          <w:szCs w:val="36"/>
        </w:rPr>
        <w:t xml:space="preserve">Genetic Report Translation Platform</w:t>
      </w:r>
    </w:p>
    <w:p>
      <w:pPr>
        <w:spacing w:after="480" w:before="0"/>
        <w:jc w:val="center"/>
      </w:pPr>
      <w:r>
        <w:rPr>
          <w:rFonts w:ascii="Arial" w:cs="Arial" w:eastAsia="Arial" w:hAnsi="Arial"/>
          <w:i/>
          <w:iCs/>
          <w:color w:val="444441"/>
          <w:sz w:val="28"/>
          <w:szCs w:val="28"/>
        </w:rPr>
        <w:t xml:space="preserve">Product Specification</w:t>
      </w:r>
    </w:p>
    <w:p>
      <w:pPr>
        <w:pBdr>
          <w:top w:val="single" w:color="D3D1C7" w:sz="4" w:space="1"/>
        </w:pBdr>
        <w:spacing w:after="240" w:before="0"/>
        <w:jc w:val="center"/>
      </w:pPr>
    </w:p>
    <w:p>
      <w:pPr>
        <w:spacing w:after="80" w:before="0"/>
        <w:jc w:val="center"/>
      </w:pPr>
      <w:r>
        <w:rPr>
          <w:rFonts w:ascii="Arial" w:cs="Arial" w:eastAsia="Arial" w:hAnsi="Arial"/>
          <w:color w:val="444441"/>
          <w:sz w:val="22"/>
          <w:szCs w:val="22"/>
        </w:rPr>
        <w:t xml:space="preserve">Version 1.0  ·  April 2026</w:t>
      </w:r>
    </w:p>
    <w:p>
      <w:pPr>
        <w:spacing w:after="0" w:before="0"/>
        <w:jc w:val="center"/>
      </w:pPr>
      <w:r>
        <w:rPr>
          <w:rFonts w:ascii="Arial" w:cs="Arial" w:eastAsia="Arial" w:hAnsi="Arial"/>
          <w:b/>
          <w:bCs/>
          <w:color w:val="993C1D"/>
          <w:sz w:val="20"/>
          <w:szCs w:val="20"/>
        </w:rPr>
        <w:t xml:space="preserve">Confidential — Internal Use Only</w:t>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spacing w:after="0" w:before="0"/>
      </w:pPr>
      <w:r>
        <w:rPr>
          <w:rFonts w:ascii="Arial" w:cs="Arial" w:eastAsia="Arial" w:hAnsi="Arial"/>
          <w:sz w:val="22"/>
          <w:szCs w:val="22"/>
        </w:rPr>
        <w:t xml:space="preserve"/>
      </w:r>
    </w:p>
    <w:p>
      <w:pPr>
        <w:pBdr>
          <w:left w:val="single" w:color="0F6E56" w:sz="12" w:space="4"/>
        </w:pBdr>
        <w:shd w:fill="E1F5EE" w:val="clear"/>
        <w:spacing w:after="120" w:before="120"/>
        <w:ind w:left="240" w:right="240"/>
      </w:pPr>
      <w:r>
        <w:rPr>
          <w:rFonts w:ascii="Arial" w:cs="Arial" w:eastAsia="Arial" w:hAnsi="Arial"/>
          <w:b/>
          <w:bCs/>
          <w:color w:val="0F6E56"/>
          <w:sz w:val="20"/>
          <w:szCs w:val="20"/>
        </w:rPr>
        <w:t xml:space="preserve">One-line pitch:  </w:t>
      </w:r>
      <w:r>
        <w:rPr>
          <w:rFonts w:ascii="Arial" w:cs="Arial" w:eastAsia="Arial" w:hAnsi="Arial"/>
          <w:color w:val="1A1A1A"/>
          <w:sz w:val="20"/>
          <w:szCs w:val="20"/>
        </w:rPr>
        <w:t xml:space="preserve">GeneTranslate turns an incomprehensible genetic lab report into a plain-language summary, per-variant cards, and a tailored list of questions to bring to a genetic counselor — in under 60 seconds.</w:t>
      </w:r>
    </w:p>
    <w:p>
      <w:pPr>
        <w:sectPr>
          <w:pgSz w:w="12240" w:h="15840" w:orient="portrait"/>
          <w:pgMar w:top="1440" w:right="1440" w:bottom="1440" w:left="1440" w:header="708" w:footer="708" w:gutter="0"/>
          <w:pgNumType/>
          <w:docGrid w:linePitch="360"/>
        </w:sectPr>
      </w:pPr>
    </w:p>
    <w:p>
      <w:pPr>
        <w:pStyle w:val="Heading1"/>
        <w:pBdr>
          <w:bottom w:val="single" w:color="1B3A6B" w:sz="6" w:space="4"/>
        </w:pBdr>
        <w:spacing w:after="160" w:before="360"/>
      </w:pPr>
      <w:r>
        <w:rPr>
          <w:rFonts w:ascii="Arial" w:cs="Arial" w:eastAsia="Arial" w:hAnsi="Arial"/>
          <w:b/>
          <w:bCs/>
          <w:color w:val="1B3A6B"/>
          <w:sz w:val="36"/>
          <w:szCs w:val="36"/>
        </w:rPr>
        <w:t xml:space="preserve">1. Executive Summary</w:t>
      </w:r>
    </w:p>
    <w:p>
      <w:pPr>
        <w:spacing w:after="100" w:before="0"/>
        <w:jc w:val="left"/>
      </w:pPr>
      <w:r>
        <w:rPr>
          <w:rFonts w:ascii="Arial" w:cs="Arial" w:eastAsia="Arial" w:hAnsi="Arial"/>
          <w:b w:val="false"/>
          <w:bCs w:val="false"/>
          <w:i w:val="false"/>
          <w:iCs w:val="false"/>
          <w:color w:val="1A1A1A"/>
          <w:sz w:val="22"/>
          <w:szCs w:val="22"/>
        </w:rPr>
        <w:t xml:space="preserve">Families receiving a genetic test result face a uniquely isolating experience: a 10–15 page clinical document written in technical shorthand, delivered with minimal explanation, and no clear next step. The average family spends 4–7 years on a diagnostic odyssey for a rare condition. Even after a result arrives, most cannot interpret what they have been told.</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GeneTranslate is a standalone web application that accepts a genetic lab report PDF and produces three structured, plain-language outputs: a summary of what was found and what it means, per-variant cards explaining each finding in accessible terms, and a tailored list of questions to bring to the next genetic counseling appointment. The system is grounded against authoritative clinical databases (ClinVar, OMIM, ACMG guidelines) to minimize hallucination risk and surface uncertainty explicitly.</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vAlign w:val="center"/>
          </w:tcPr>
          <w:p>
            <w:pPr>
              <w:spacing w:after="40" w:before="0"/>
              <w:jc w:val="center"/>
            </w:pPr>
            <w:r>
              <w:rPr>
                <w:rFonts w:ascii="Arial" w:cs="Arial" w:eastAsia="Arial" w:hAnsi="Arial"/>
                <w:b/>
                <w:bCs/>
                <w:color w:val="1B3A6B"/>
                <w:sz w:val="36"/>
                <w:szCs w:val="36"/>
              </w:rPr>
              <w:t xml:space="preserve">4–7 yrs</w:t>
            </w:r>
          </w:p>
          <w:p>
            <w:pPr>
              <w:spacing w:after="0" w:before="0"/>
              <w:jc w:val="center"/>
            </w:pPr>
            <w:r>
              <w:rPr>
                <w:rFonts w:ascii="Arial" w:cs="Arial" w:eastAsia="Arial" w:hAnsi="Arial"/>
                <w:color w:val="444441"/>
                <w:sz w:val="18"/>
                <w:szCs w:val="18"/>
              </w:rPr>
              <w:t xml:space="preserve">Avg. rare disease diagnosis odyssey</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vAlign w:val="center"/>
          </w:tcPr>
          <w:p>
            <w:pPr>
              <w:spacing w:after="40" w:before="0"/>
              <w:jc w:val="center"/>
            </w:pPr>
            <w:r>
              <w:rPr>
                <w:rFonts w:ascii="Arial" w:cs="Arial" w:eastAsia="Arial" w:hAnsi="Arial"/>
                <w:b/>
                <w:bCs/>
                <w:color w:val="1B3A6B"/>
                <w:sz w:val="36"/>
                <w:szCs w:val="36"/>
              </w:rPr>
              <w:t xml:space="preserve">~7,000</w:t>
            </w:r>
          </w:p>
          <w:p>
            <w:pPr>
              <w:spacing w:after="0" w:before="0"/>
              <w:jc w:val="center"/>
            </w:pPr>
            <w:r>
              <w:rPr>
                <w:rFonts w:ascii="Arial" w:cs="Arial" w:eastAsia="Arial" w:hAnsi="Arial"/>
                <w:color w:val="444441"/>
                <w:sz w:val="18"/>
                <w:szCs w:val="18"/>
              </w:rPr>
              <w:t xml:space="preserve">Known rare genetic disorders</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vAlign w:val="center"/>
          </w:tcPr>
          <w:p>
            <w:pPr>
              <w:spacing w:after="40" w:before="0"/>
              <w:jc w:val="center"/>
            </w:pPr>
            <w:r>
              <w:rPr>
                <w:rFonts w:ascii="Arial" w:cs="Arial" w:eastAsia="Arial" w:hAnsi="Arial"/>
                <w:b/>
                <w:bCs/>
                <w:color w:val="1B3A6B"/>
                <w:sz w:val="36"/>
                <w:szCs w:val="36"/>
              </w:rPr>
              <w:t xml:space="preserve">5,000</w:t>
            </w:r>
          </w:p>
          <w:p>
            <w:pPr>
              <w:spacing w:after="0" w:before="0"/>
              <w:jc w:val="center"/>
            </w:pPr>
            <w:r>
              <w:rPr>
                <w:rFonts w:ascii="Arial" w:cs="Arial" w:eastAsia="Arial" w:hAnsi="Arial"/>
                <w:color w:val="444441"/>
                <w:sz w:val="18"/>
                <w:szCs w:val="18"/>
              </w:rPr>
              <w:t xml:space="preserve">Genetic counselors in the US</w:t>
            </w:r>
          </w:p>
        </w:tc>
        <w:tc>
          <w:tcPr>
            <w:tcW w:type="dxa" w:w="2340"/>
            <w:tcBorders>
              <w:top w:val="single" w:color="D3D1C7" w:sz="1"/>
              <w:left w:val="single" w:color="D3D1C7" w:sz="1"/>
              <w:bottom w:val="single" w:color="D3D1C7" w:sz="1"/>
              <w:right w:val="single" w:color="D3D1C7" w:sz="1"/>
            </w:tcBorders>
            <w:shd w:fill="F1EFE8" w:val="clear"/>
            <w:tcMar>
              <w:top w:type="dxa" w:w="120"/>
              <w:left w:type="dxa" w:w="160"/>
              <w:bottom w:type="dxa" w:w="120"/>
              <w:right w:type="dxa" w:w="160"/>
            </w:tcMar>
            <w:vAlign w:val="center"/>
          </w:tcPr>
          <w:p>
            <w:pPr>
              <w:spacing w:after="40" w:before="0"/>
              <w:jc w:val="center"/>
            </w:pPr>
            <w:r>
              <w:rPr>
                <w:rFonts w:ascii="Arial" w:cs="Arial" w:eastAsia="Arial" w:hAnsi="Arial"/>
                <w:b/>
                <w:bCs/>
                <w:color w:val="1B3A6B"/>
                <w:sz w:val="36"/>
                <w:szCs w:val="36"/>
              </w:rPr>
              <w:t xml:space="preserve">3–6 mo</w:t>
            </w:r>
          </w:p>
          <w:p>
            <w:pPr>
              <w:spacing w:after="0" w:before="0"/>
              <w:jc w:val="center"/>
            </w:pPr>
            <w:r>
              <w:rPr>
                <w:rFonts w:ascii="Arial" w:cs="Arial" w:eastAsia="Arial" w:hAnsi="Arial"/>
                <w:color w:val="444441"/>
                <w:sz w:val="18"/>
                <w:szCs w:val="18"/>
              </w:rPr>
              <w:t xml:space="preserve">Median wait for genetic counseling</w:t>
            </w:r>
          </w:p>
        </w:tc>
      </w:tr>
    </w:tbl>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The MVP is achievable in 2–3 weeks of engineering time. The core moat is reliability and safety: structured extraction before LLM reasoning, explicit uncertainty surfacing, and no diagnostic claims. A hybrid AI + genetic counselor review tier is the long-term defensible product.</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2. Problem Statement</w:t>
      </w:r>
    </w:p>
    <w:p>
      <w:pPr>
        <w:pStyle w:val="Heading2"/>
        <w:spacing w:after="120" w:before="280"/>
      </w:pPr>
      <w:r>
        <w:rPr>
          <w:rFonts w:ascii="Arial" w:cs="Arial" w:eastAsia="Arial" w:hAnsi="Arial"/>
          <w:b/>
          <w:bCs/>
          <w:color w:val="0F6E56"/>
          <w:sz w:val="28"/>
          <w:szCs w:val="28"/>
        </w:rPr>
        <w:t xml:space="preserve">2.1 The report comprehension gap</w:t>
      </w:r>
    </w:p>
    <w:p>
      <w:pPr>
        <w:spacing w:after="100" w:before="0"/>
        <w:jc w:val="left"/>
      </w:pPr>
      <w:r>
        <w:rPr>
          <w:rFonts w:ascii="Arial" w:cs="Arial" w:eastAsia="Arial" w:hAnsi="Arial"/>
          <w:b w:val="false"/>
          <w:bCs w:val="false"/>
          <w:i w:val="false"/>
          <w:iCs w:val="false"/>
          <w:color w:val="1A1A1A"/>
          <w:sz w:val="22"/>
          <w:szCs w:val="22"/>
        </w:rPr>
        <w:t xml:space="preserve">Genetic laboratory reports are written for clinicians, not patients. They routinely contain: HGVS variant notation (e.g. NM_000059.4:c.5266dupC), ACMG classification terminology (Pathogenic, Likely Pathogenic, VUS), inheritance mode jargon (autosomal recessive, X-linked dominant), and gene-disease association caveats that require specialist background to interpret correctly.</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Most families receive these reports via a patient portal with no accompanying explanation. Many wait months for a genetic counselor appointment to have it explained. In the interim, they turn to Google, Reddit, and patient forums — sources with highly variable quality and no context for their specific result.</w:t>
      </w:r>
    </w:p>
    <w:p>
      <w:pPr>
        <w:spacing w:after="0" w:before="0"/>
      </w:pPr>
      <w:r>
        <w:rPr>
          <w:rFonts w:ascii="Arial" w:cs="Arial" w:eastAsia="Arial" w:hAnsi="Arial"/>
          <w:sz w:val="22"/>
          <w:szCs w:val="22"/>
        </w:rPr>
        <w:t xml:space="preserve"/>
      </w:r>
    </w:p>
    <w:p>
      <w:pPr>
        <w:pBdr>
          <w:left w:val="single" w:color="534AB7" w:sz="12" w:space="4"/>
        </w:pBdr>
        <w:shd w:fill="EEEDFE" w:val="clear"/>
        <w:spacing w:after="120" w:before="120"/>
        <w:ind w:left="240" w:right="240"/>
      </w:pPr>
      <w:r>
        <w:rPr>
          <w:rFonts w:ascii="Arial" w:cs="Arial" w:eastAsia="Arial" w:hAnsi="Arial"/>
          <w:b/>
          <w:bCs/>
          <w:color w:val="534AB7"/>
          <w:sz w:val="20"/>
          <w:szCs w:val="20"/>
        </w:rPr>
        <w:t xml:space="preserve">Key insight:  </w:t>
      </w:r>
      <w:r>
        <w:rPr>
          <w:rFonts w:ascii="Arial" w:cs="Arial" w:eastAsia="Arial" w:hAnsi="Arial"/>
          <w:color w:val="1A1A1A"/>
          <w:sz w:val="20"/>
          <w:szCs w:val="20"/>
        </w:rPr>
        <w:t xml:space="preserve">The bottleneck is not access to the genetic result — it is access to a coherent explanation of what that result means for this specific family.</w:t>
      </w:r>
    </w:p>
    <w:p>
      <w:pPr>
        <w:pStyle w:val="Heading2"/>
        <w:spacing w:after="120" w:before="280"/>
      </w:pPr>
      <w:r>
        <w:rPr>
          <w:rFonts w:ascii="Arial" w:cs="Arial" w:eastAsia="Arial" w:hAnsi="Arial"/>
          <w:b/>
          <w:bCs/>
          <w:color w:val="0F6E56"/>
          <w:sz w:val="28"/>
          <w:szCs w:val="28"/>
        </w:rPr>
        <w:t xml:space="preserve">2.2 The genetic counselor shortage</w:t>
      </w:r>
    </w:p>
    <w:p>
      <w:pPr>
        <w:spacing w:after="100" w:before="0"/>
        <w:jc w:val="left"/>
      </w:pPr>
      <w:r>
        <w:rPr>
          <w:rFonts w:ascii="Arial" w:cs="Arial" w:eastAsia="Arial" w:hAnsi="Arial"/>
          <w:b w:val="false"/>
          <w:bCs w:val="false"/>
          <w:i w:val="false"/>
          <w:iCs w:val="false"/>
          <w:color w:val="1A1A1A"/>
          <w:sz w:val="22"/>
          <w:szCs w:val="22"/>
        </w:rPr>
        <w:t xml:space="preserve">There are approximately 5,000 board-certified genetic counselors in the United States serving a population of 330 million. Median wait times for an appointment range from 3 to 6 months in most metropolitan areas and exceed 12 months in rural regions. The workforce is not growing fast enough to close this gap.</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GeneTranslate does not replace genetic counselors. It reduces the cognitive overhead of every counseling session by ensuring the family arrives having already understood the basics of their report, formulated meaningful questions, and identified the elements they need help interpreting. This makes every counseling hour more productive.</w:t>
      </w:r>
    </w:p>
    <w:p>
      <w:pPr>
        <w:pStyle w:val="Heading2"/>
        <w:spacing w:after="120" w:before="280"/>
      </w:pPr>
      <w:r>
        <w:rPr>
          <w:rFonts w:ascii="Arial" w:cs="Arial" w:eastAsia="Arial" w:hAnsi="Arial"/>
          <w:b/>
          <w:bCs/>
          <w:color w:val="0F6E56"/>
          <w:sz w:val="28"/>
          <w:szCs w:val="28"/>
        </w:rPr>
        <w:t xml:space="preserve">2.3 Existing solutions and their limitations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Solution</w:t>
            </w:r>
          </w:p>
        </w:tc>
        <w:tc>
          <w:tcPr>
            <w:tcW w:type="dxa" w:w="63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Why it falls short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Patient portals (Epic, MyChart)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Display the raw report with no interpretation layer</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Google / general web search</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No context for the specific variant; high misinformation risk</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Reddit / patient forums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Variable quality; anecdotal; no clinical grounding</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Rare disease org websites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Condition-specific but not report-specific</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Direct genetic counselor access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Months wait; geographically unequal; expensive</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23andMe / consumer genomics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Consumer-grade; does not interpret clinical diagnostic reports</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3. Target Users</w:t>
      </w:r>
    </w:p>
    <w:p>
      <w:pPr>
        <w:pStyle w:val="Heading2"/>
        <w:spacing w:after="120" w:before="280"/>
      </w:pPr>
      <w:r>
        <w:rPr>
          <w:rFonts w:ascii="Arial" w:cs="Arial" w:eastAsia="Arial" w:hAnsi="Arial"/>
          <w:b/>
          <w:bCs/>
          <w:color w:val="0F6E56"/>
          <w:sz w:val="28"/>
          <w:szCs w:val="28"/>
        </w:rPr>
        <w:t xml:space="preserve">3.1 Primary user: the family navigator</w:t>
      </w:r>
    </w:p>
    <w:p>
      <w:pPr>
        <w:spacing w:after="100" w:before="0"/>
        <w:jc w:val="left"/>
      </w:pPr>
      <w:r>
        <w:rPr>
          <w:rFonts w:ascii="Arial" w:cs="Arial" w:eastAsia="Arial" w:hAnsi="Arial"/>
          <w:b w:val="false"/>
          <w:bCs w:val="false"/>
          <w:i w:val="false"/>
          <w:iCs w:val="false"/>
          <w:color w:val="1A1A1A"/>
          <w:sz w:val="22"/>
          <w:szCs w:val="22"/>
        </w:rPr>
        <w:t xml:space="preserve">The person who receives the report on behalf of the family. Typically a parent of an affected child, or an adult patient who has undergone diagnostic genetic testing. Characteristics:</w:t>
      </w:r>
    </w:p>
    <w:p>
      <w:pPr>
        <w:pStyle w:val="ListParagraph"/>
        <w:numPr>
          <w:ilvl w:val="0"/>
          <w:numId w:val="2"/>
        </w:numPr>
        <w:spacing w:after="40" w:before="40"/>
      </w:pPr>
      <w:r>
        <w:rPr>
          <w:rFonts w:ascii="Arial" w:cs="Arial" w:eastAsia="Arial" w:hAnsi="Arial"/>
          <w:color w:val="1A1A1A"/>
          <w:sz w:val="22"/>
          <w:szCs w:val="22"/>
        </w:rPr>
        <w:t xml:space="preserve">Non-clinical background — may have scientific literacy but not genetics expertise</w:t>
      </w:r>
    </w:p>
    <w:p>
      <w:pPr>
        <w:pStyle w:val="ListParagraph"/>
        <w:numPr>
          <w:ilvl w:val="0"/>
          <w:numId w:val="2"/>
        </w:numPr>
        <w:spacing w:after="40" w:before="40"/>
      </w:pPr>
      <w:r>
        <w:rPr>
          <w:rFonts w:ascii="Arial" w:cs="Arial" w:eastAsia="Arial" w:hAnsi="Arial"/>
          <w:color w:val="1A1A1A"/>
          <w:sz w:val="22"/>
          <w:szCs w:val="22"/>
        </w:rPr>
        <w:t xml:space="preserve">High emotional stake — the result directly affects a child or themselves</w:t>
      </w:r>
    </w:p>
    <w:p>
      <w:pPr>
        <w:pStyle w:val="ListParagraph"/>
        <w:numPr>
          <w:ilvl w:val="0"/>
          <w:numId w:val="2"/>
        </w:numPr>
        <w:spacing w:after="40" w:before="40"/>
      </w:pPr>
      <w:r>
        <w:rPr>
          <w:rFonts w:ascii="Arial" w:cs="Arial" w:eastAsia="Arial" w:hAnsi="Arial"/>
          <w:color w:val="1A1A1A"/>
          <w:sz w:val="22"/>
          <w:szCs w:val="22"/>
        </w:rPr>
        <w:t xml:space="preserve">Time-constrained — managing medical appointments, school, employment, and caregiving simultaneously</w:t>
      </w:r>
    </w:p>
    <w:p>
      <w:pPr>
        <w:pStyle w:val="ListParagraph"/>
        <w:numPr>
          <w:ilvl w:val="0"/>
          <w:numId w:val="2"/>
        </w:numPr>
        <w:spacing w:after="40" w:before="40"/>
      </w:pPr>
      <w:r>
        <w:rPr>
          <w:rFonts w:ascii="Arial" w:cs="Arial" w:eastAsia="Arial" w:hAnsi="Arial"/>
          <w:color w:val="1A1A1A"/>
          <w:sz w:val="22"/>
          <w:szCs w:val="22"/>
        </w:rPr>
        <w:t xml:space="preserve">Digitally capable — comfortable uploading documents, using web apps</w:t>
      </w:r>
    </w:p>
    <w:p>
      <w:pPr>
        <w:pStyle w:val="ListParagraph"/>
        <w:numPr>
          <w:ilvl w:val="0"/>
          <w:numId w:val="2"/>
        </w:numPr>
        <w:spacing w:after="40" w:before="40"/>
      </w:pPr>
      <w:r>
        <w:rPr>
          <w:rFonts w:ascii="Arial" w:cs="Arial" w:eastAsia="Arial" w:hAnsi="Arial"/>
          <w:color w:val="1A1A1A"/>
          <w:sz w:val="22"/>
          <w:szCs w:val="22"/>
        </w:rPr>
        <w:t xml:space="preserve">Motivated — actively seeking information, not passive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3.2 Secondary user: the genetic counselor</w:t>
      </w:r>
    </w:p>
    <w:p>
      <w:pPr>
        <w:spacing w:after="100" w:before="0"/>
        <w:jc w:val="left"/>
      </w:pPr>
      <w:r>
        <w:rPr>
          <w:rFonts w:ascii="Arial" w:cs="Arial" w:eastAsia="Arial" w:hAnsi="Arial"/>
          <w:b w:val="false"/>
          <w:bCs w:val="false"/>
          <w:i w:val="false"/>
          <w:iCs w:val="false"/>
          <w:color w:val="1A1A1A"/>
          <w:sz w:val="22"/>
          <w:szCs w:val="22"/>
        </w:rPr>
        <w:t xml:space="preserve">Genetic counselors who want to share GeneTranslate outputs with patients as pre-appointment preparation material, or who use it to generate a plain-language summary they can review and sign off on before sending to a patient. This is the B2B2C pathway.</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3.3 Out of scope for v1</w:t>
      </w:r>
    </w:p>
    <w:p>
      <w:pPr>
        <w:pStyle w:val="ListParagraph"/>
        <w:numPr>
          <w:ilvl w:val="0"/>
          <w:numId w:val="2"/>
        </w:numPr>
        <w:spacing w:after="40" w:before="40"/>
      </w:pPr>
      <w:r>
        <w:rPr>
          <w:rFonts w:ascii="Arial" w:cs="Arial" w:eastAsia="Arial" w:hAnsi="Arial"/>
          <w:color w:val="1A1A1A"/>
          <w:sz w:val="22"/>
          <w:szCs w:val="22"/>
        </w:rPr>
        <w:t xml:space="preserve">Oncology-specific reports (somatic tumor profiling) — different classification systems, higher liability</w:t>
      </w:r>
    </w:p>
    <w:p>
      <w:pPr>
        <w:pStyle w:val="ListParagraph"/>
        <w:numPr>
          <w:ilvl w:val="0"/>
          <w:numId w:val="2"/>
        </w:numPr>
        <w:spacing w:after="40" w:before="40"/>
      </w:pPr>
      <w:r>
        <w:rPr>
          <w:rFonts w:ascii="Arial" w:cs="Arial" w:eastAsia="Arial" w:hAnsi="Arial"/>
          <w:color w:val="1A1A1A"/>
          <w:sz w:val="22"/>
          <w:szCs w:val="22"/>
        </w:rPr>
        <w:t xml:space="preserve">Pharmacogenomic reports — drug-gene interaction alerts require real-time prescribing data</w:t>
      </w:r>
    </w:p>
    <w:p>
      <w:pPr>
        <w:pStyle w:val="ListParagraph"/>
        <w:numPr>
          <w:ilvl w:val="0"/>
          <w:numId w:val="2"/>
        </w:numPr>
        <w:spacing w:after="40" w:before="40"/>
      </w:pPr>
      <w:r>
        <w:rPr>
          <w:rFonts w:ascii="Arial" w:cs="Arial" w:eastAsia="Arial" w:hAnsi="Arial"/>
          <w:color w:val="1A1A1A"/>
          <w:sz w:val="22"/>
          <w:szCs w:val="22"/>
        </w:rPr>
        <w:t xml:space="preserve">Research/investigational results — not subject to ACMG clinical classification standards</w:t>
      </w:r>
    </w:p>
    <w:p>
      <w:pPr>
        <w:pStyle w:val="ListParagraph"/>
        <w:numPr>
          <w:ilvl w:val="0"/>
          <w:numId w:val="2"/>
        </w:numPr>
        <w:spacing w:after="40" w:before="40"/>
      </w:pPr>
      <w:r>
        <w:rPr>
          <w:rFonts w:ascii="Arial" w:cs="Arial" w:eastAsia="Arial" w:hAnsi="Arial"/>
          <w:color w:val="1A1A1A"/>
          <w:sz w:val="22"/>
          <w:szCs w:val="22"/>
        </w:rPr>
        <w:t xml:space="preserve">Non-English reports — requires translation pipeline before extraction</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4. Product Overview</w:t>
      </w:r>
    </w:p>
    <w:p>
      <w:pPr>
        <w:pStyle w:val="Heading2"/>
        <w:spacing w:after="120" w:before="280"/>
      </w:pPr>
      <w:r>
        <w:rPr>
          <w:rFonts w:ascii="Arial" w:cs="Arial" w:eastAsia="Arial" w:hAnsi="Arial"/>
          <w:b/>
          <w:bCs/>
          <w:color w:val="0F6E56"/>
          <w:sz w:val="28"/>
          <w:szCs w:val="28"/>
        </w:rPr>
        <w:t xml:space="preserve">4.1 Core value proposition</w:t>
      </w:r>
    </w:p>
    <w:p>
      <w:pPr>
        <w:spacing w:after="100" w:before="0"/>
        <w:jc w:val="left"/>
      </w:pPr>
      <w:r>
        <w:rPr>
          <w:rFonts w:ascii="Arial" w:cs="Arial" w:eastAsia="Arial" w:hAnsi="Arial"/>
          <w:b w:val="false"/>
          <w:bCs w:val="false"/>
          <w:i w:val="false"/>
          <w:iCs w:val="false"/>
          <w:color w:val="1A1A1A"/>
          <w:sz w:val="22"/>
          <w:szCs w:val="22"/>
        </w:rPr>
        <w:t xml:space="preserve">GeneTranslate has one job: make a genetic report understandable to the family who received it, without making diagnostic claims, and without requiring a clinician in the loop for the baseline comprehension step.</w:t>
      </w:r>
    </w:p>
    <w:p>
      <w:pPr>
        <w:spacing w:after="0" w:before="0"/>
      </w:pPr>
      <w:r>
        <w:rPr>
          <w:rFonts w:ascii="Arial" w:cs="Arial" w:eastAsia="Arial" w:hAnsi="Arial"/>
          <w:sz w:val="22"/>
          <w:szCs w:val="22"/>
        </w:rPr>
        <w:t xml:space="preserve"/>
      </w:r>
    </w:p>
    <w:p>
      <w:pPr>
        <w:pBdr>
          <w:left w:val="single" w:color="0F6E56" w:sz="12" w:space="4"/>
        </w:pBdr>
        <w:shd w:fill="E1F5EE" w:val="clear"/>
        <w:spacing w:after="120" w:before="120"/>
        <w:ind w:left="240" w:right="240"/>
      </w:pPr>
      <w:r>
        <w:rPr>
          <w:rFonts w:ascii="Arial" w:cs="Arial" w:eastAsia="Arial" w:hAnsi="Arial"/>
          <w:b/>
          <w:bCs/>
          <w:color w:val="0F6E56"/>
          <w:sz w:val="20"/>
          <w:szCs w:val="20"/>
        </w:rPr>
        <w:t xml:space="preserve">Design principle:  </w:t>
      </w:r>
      <w:r>
        <w:rPr>
          <w:rFonts w:ascii="Arial" w:cs="Arial" w:eastAsia="Arial" w:hAnsi="Arial"/>
          <w:color w:val="1A1A1A"/>
          <w:sz w:val="20"/>
          <w:szCs w:val="20"/>
        </w:rPr>
        <w:t xml:space="preserve">Every output should help the family have a better conversation with their clinician — not replace that conversation.</w:t>
      </w:r>
    </w:p>
    <w:p>
      <w:pPr>
        <w:pStyle w:val="Heading2"/>
        <w:spacing w:after="120" w:before="280"/>
      </w:pPr>
      <w:r>
        <w:rPr>
          <w:rFonts w:ascii="Arial" w:cs="Arial" w:eastAsia="Arial" w:hAnsi="Arial"/>
          <w:b/>
          <w:bCs/>
          <w:color w:val="0F6E56"/>
          <w:sz w:val="28"/>
          <w:szCs w:val="28"/>
        </w:rPr>
        <w:t xml:space="preserve">4.2 Product modules</w:t>
      </w:r>
    </w:p>
    <w:p>
      <w:pPr>
        <w:pStyle w:val="Heading3"/>
        <w:spacing w:after="80" w:before="200"/>
      </w:pPr>
      <w:r>
        <w:rPr>
          <w:rFonts w:ascii="Arial" w:cs="Arial" w:eastAsia="Arial" w:hAnsi="Arial"/>
          <w:b/>
          <w:bCs/>
          <w:color w:val="444441"/>
          <w:sz w:val="24"/>
          <w:szCs w:val="24"/>
        </w:rPr>
        <w:t xml:space="preserve">Module A — Report ingestion</w:t>
      </w:r>
    </w:p>
    <w:p>
      <w:pPr>
        <w:spacing w:after="100" w:before="0"/>
        <w:jc w:val="left"/>
      </w:pPr>
      <w:r>
        <w:rPr>
          <w:rFonts w:ascii="Arial" w:cs="Arial" w:eastAsia="Arial" w:hAnsi="Arial"/>
          <w:b w:val="false"/>
          <w:bCs w:val="false"/>
          <w:i w:val="false"/>
          <w:iCs w:val="false"/>
          <w:color w:val="1A1A1A"/>
          <w:sz w:val="22"/>
          <w:szCs w:val="22"/>
        </w:rPr>
        <w:t xml:space="preserve">The entry point. User uploads a PDF genetic lab report. The system identifies the lab source (Invitae, GeneDx, Ambry, Color, Quest Diagnostics, Blueprint Genetics, and others) and routes to the appropriate extraction parser. Users optionally provide context: patient age, reason for testing, and whether a genetic counselor appointment is scheduled.</w:t>
      </w:r>
    </w:p>
    <w:p>
      <w:pPr>
        <w:spacing w:after="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444441"/>
          <w:sz w:val="24"/>
          <w:szCs w:val="24"/>
        </w:rPr>
        <w:t xml:space="preserve">Module B — Structured extraction</w:t>
      </w:r>
    </w:p>
    <w:p>
      <w:pPr>
        <w:spacing w:after="100" w:before="0"/>
        <w:jc w:val="left"/>
      </w:pPr>
      <w:r>
        <w:rPr>
          <w:rFonts w:ascii="Arial" w:cs="Arial" w:eastAsia="Arial" w:hAnsi="Arial"/>
          <w:b w:val="false"/>
          <w:bCs w:val="false"/>
          <w:i w:val="false"/>
          <w:iCs w:val="false"/>
          <w:color w:val="1A1A1A"/>
          <w:sz w:val="22"/>
          <w:szCs w:val="22"/>
        </w:rPr>
        <w:t xml:space="preserve">The PDF is parsed to extract structured variant data: gene symbol, transcript, variant notation (HGVS), ACMG classification, condition name, inheritance pattern, zygosity, and lab interpretation summary. This structured payload — not raw PDF text — is what gets passed to the LLM. The distinction is critical for reliability.</w:t>
      </w:r>
    </w:p>
    <w:p>
      <w:pPr>
        <w:spacing w:after="0" w:before="0"/>
      </w:pPr>
      <w:r>
        <w:rPr>
          <w:rFonts w:ascii="Arial" w:cs="Arial" w:eastAsia="Arial" w:hAnsi="Arial"/>
          <w:sz w:val="22"/>
          <w:szCs w:val="22"/>
        </w:rPr>
        <w:t xml:space="preserve"/>
      </w:r>
    </w:p>
    <w:p>
      <w:pPr>
        <w:pBdr>
          <w:left w:val="single" w:color="854F0B" w:sz="12" w:space="4"/>
        </w:pBdr>
        <w:shd w:fill="FAEEDA" w:val="clear"/>
        <w:spacing w:after="120" w:before="120"/>
        <w:ind w:left="240" w:right="240"/>
      </w:pPr>
      <w:r>
        <w:rPr>
          <w:rFonts w:ascii="Arial" w:cs="Arial" w:eastAsia="Arial" w:hAnsi="Arial"/>
          <w:b/>
          <w:bCs/>
          <w:color w:val="854F0B"/>
          <w:sz w:val="20"/>
          <w:szCs w:val="20"/>
        </w:rPr>
        <w:t xml:space="preserve">Technical note:  </w:t>
      </w:r>
      <w:r>
        <w:rPr>
          <w:rFonts w:ascii="Arial" w:cs="Arial" w:eastAsia="Arial" w:hAnsi="Arial"/>
          <w:color w:val="1A1A1A"/>
          <w:sz w:val="20"/>
          <w:szCs w:val="20"/>
        </w:rPr>
        <w:t xml:space="preserve">Lab reports vary significantly in PDF structure. Some are machine-generated with consistent table layouts; others are narrative documents with embedded tables. The extraction layer must handle both and fail gracefully when a field cannot be parsed, rather than hallucinating a value.</w:t>
      </w:r>
    </w:p>
    <w:p>
      <w:pPr>
        <w:pStyle w:val="Heading3"/>
        <w:spacing w:after="80" w:before="200"/>
      </w:pPr>
      <w:r>
        <w:rPr>
          <w:rFonts w:ascii="Arial" w:cs="Arial" w:eastAsia="Arial" w:hAnsi="Arial"/>
          <w:b/>
          <w:bCs/>
          <w:color w:val="444441"/>
          <w:sz w:val="24"/>
          <w:szCs w:val="24"/>
        </w:rPr>
        <w:t xml:space="preserve">Module C — LLM reasoning (grounded)</w:t>
      </w:r>
    </w:p>
    <w:p>
      <w:pPr>
        <w:spacing w:after="100" w:before="0"/>
        <w:jc w:val="left"/>
      </w:pPr>
      <w:r>
        <w:rPr>
          <w:rFonts w:ascii="Arial" w:cs="Arial" w:eastAsia="Arial" w:hAnsi="Arial"/>
          <w:b w:val="false"/>
          <w:bCs w:val="false"/>
          <w:i w:val="false"/>
          <w:iCs w:val="false"/>
          <w:color w:val="1A1A1A"/>
          <w:sz w:val="22"/>
          <w:szCs w:val="22"/>
        </w:rPr>
        <w:t xml:space="preserve">The structured extraction payload is combined with patient context and passed to the LLM with a carefully engineered prompt. The prompt includes: ACMG classification definitions baked in, ClinVar evidence summaries retrieved at query time for the specific variant, OMIM gene-disease relationship data, and explicit instructions on uncertainty surfacing and prohibited claim types. The LLM generates three output objects.</w:t>
      </w:r>
    </w:p>
    <w:p>
      <w:pPr>
        <w:spacing w:after="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444441"/>
          <w:sz w:val="24"/>
          <w:szCs w:val="24"/>
        </w:rPr>
        <w:t xml:space="preserve">Module D — Output rendering</w:t>
      </w:r>
    </w:p>
    <w:p>
      <w:pPr>
        <w:spacing w:after="100" w:before="0"/>
        <w:jc w:val="left"/>
      </w:pPr>
      <w:r>
        <w:rPr>
          <w:rFonts w:ascii="Arial" w:cs="Arial" w:eastAsia="Arial" w:hAnsi="Arial"/>
          <w:b w:val="false"/>
          <w:bCs w:val="false"/>
          <w:i w:val="false"/>
          <w:iCs w:val="false"/>
          <w:color w:val="1A1A1A"/>
          <w:sz w:val="22"/>
          <w:szCs w:val="22"/>
        </w:rPr>
        <w:t xml:space="preserve">Three structured outputs are generated and displayed:</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Output</w:t>
            </w:r>
          </w:p>
        </w:tc>
        <w:tc>
          <w:tcPr>
            <w:tcW w:type="dxa" w:w="36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Description</w:t>
            </w:r>
          </w:p>
        </w:tc>
        <w:tc>
          <w:tcPr>
            <w:tcW w:type="dxa" w:w="31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User action</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Plain-language summary</w:t>
            </w:r>
          </w:p>
        </w:tc>
        <w:tc>
          <w:tcPr>
            <w:tcW w:type="dxa" w:w="36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What was found, what it means for this person, what is uncertain</w:t>
            </w:r>
          </w:p>
        </w:tc>
        <w:tc>
          <w:tcPr>
            <w:tcW w:type="dxa" w:w="3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Read and share with family members</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Per-variant cards</w:t>
            </w:r>
          </w:p>
        </w:tc>
        <w:tc>
          <w:tcPr>
            <w:tcW w:type="dxa" w:w="36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One card per finding: gene, what it does, classification meaning, inheritance risk for siblings/parents</w:t>
            </w:r>
          </w:p>
        </w:tc>
        <w:tc>
          <w:tcPr>
            <w:tcW w:type="dxa" w:w="3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Bring to counselor appointment</w:t>
            </w:r>
          </w:p>
        </w:tc>
      </w:tr>
      <w:tr>
        <w:tc>
          <w:tcPr>
            <w:tcW w:type="dxa" w:w="26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Questions to ask</w:t>
            </w:r>
          </w:p>
        </w:tc>
        <w:tc>
          <w:tcPr>
            <w:tcW w:type="dxa" w:w="360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Tailored to the specific report findings, phrased for a non-expert to ask a clinician</w:t>
            </w:r>
          </w:p>
        </w:tc>
        <w:tc>
          <w:tcPr>
            <w:tcW w:type="dxa" w:w="3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Use at next appointment</w:t>
            </w:r>
          </w:p>
        </w:tc>
      </w:tr>
    </w:tbl>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All outputs are exportable as a single PDF. The export includes a mandatory footer: 'This document was generated by GeneTranslate and is intended for educational purposes only. It does not constitute medical advice. Please review all information with your genetic counselor or physician.'</w:t>
      </w:r>
    </w:p>
    <w:p>
      <w:pPr>
        <w:spacing w:after="0" w:before="0"/>
      </w:pPr>
      <w:r>
        <w:rPr>
          <w:rFonts w:ascii="Arial" w:cs="Arial" w:eastAsia="Arial" w:hAnsi="Arial"/>
          <w:sz w:val="22"/>
          <w:szCs w:val="22"/>
        </w:rPr>
        <w:t xml:space="preserve"/>
      </w:r>
    </w:p>
    <w:p>
      <w:pPr>
        <w:pStyle w:val="Heading3"/>
        <w:spacing w:after="80" w:before="200"/>
      </w:pPr>
      <w:r>
        <w:rPr>
          <w:rFonts w:ascii="Arial" w:cs="Arial" w:eastAsia="Arial" w:hAnsi="Arial"/>
          <w:b/>
          <w:bCs/>
          <w:color w:val="444441"/>
          <w:sz w:val="24"/>
          <w:szCs w:val="24"/>
        </w:rPr>
        <w:t xml:space="preserve">Module E — Safety layer</w:t>
      </w:r>
    </w:p>
    <w:p>
      <w:pPr>
        <w:spacing w:after="100" w:before="0"/>
        <w:jc w:val="left"/>
      </w:pPr>
      <w:r>
        <w:rPr>
          <w:rFonts w:ascii="Arial" w:cs="Arial" w:eastAsia="Arial" w:hAnsi="Arial"/>
          <w:b w:val="false"/>
          <w:bCs w:val="false"/>
          <w:i w:val="false"/>
          <w:iCs w:val="false"/>
          <w:color w:val="1A1A1A"/>
          <w:sz w:val="22"/>
          <w:szCs w:val="22"/>
        </w:rPr>
        <w:t xml:space="preserve">A classification layer runs over every output before rendering. It checks for: confidence signals per variant (high / moderate / low based on ClinVar star rating and variant class), presence of high-complexity triggers (multi-gene panel results, BRCA1/2, Lynch syndrome genes, variants in genes with established penetrance uncertainty), and output language that crosses from educational to diagnostic. High-complexity triggers elevate the counselor referral messaging and suppress certain output sections.</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5. Functional Requirements</w:t>
      </w:r>
    </w:p>
    <w:p>
      <w:pPr>
        <w:pStyle w:val="Heading2"/>
        <w:spacing w:after="120" w:before="280"/>
      </w:pPr>
      <w:r>
        <w:rPr>
          <w:rFonts w:ascii="Arial" w:cs="Arial" w:eastAsia="Arial" w:hAnsi="Arial"/>
          <w:b/>
          <w:bCs/>
          <w:color w:val="0F6E56"/>
          <w:sz w:val="28"/>
          <w:szCs w:val="28"/>
        </w:rPr>
        <w:t xml:space="preserve">5.1 Ingestion &amp; parsing</w:t>
      </w:r>
    </w:p>
    <w:p>
      <w:pPr>
        <w:pStyle w:val="ListParagraph"/>
        <w:numPr>
          <w:ilvl w:val="0"/>
          <w:numId w:val="2"/>
        </w:numPr>
        <w:spacing w:after="40" w:before="40"/>
      </w:pPr>
      <w:r>
        <w:rPr>
          <w:rFonts w:ascii="Arial" w:cs="Arial" w:eastAsia="Arial" w:hAnsi="Arial"/>
          <w:color w:val="1A1A1A"/>
          <w:sz w:val="22"/>
          <w:szCs w:val="22"/>
        </w:rPr>
        <w:t xml:space="preserve">Accept PDF uploads up to 25 MB</w:t>
      </w:r>
    </w:p>
    <w:p>
      <w:pPr>
        <w:pStyle w:val="ListParagraph"/>
        <w:numPr>
          <w:ilvl w:val="0"/>
          <w:numId w:val="2"/>
        </w:numPr>
        <w:spacing w:after="40" w:before="40"/>
      </w:pPr>
      <w:r>
        <w:rPr>
          <w:rFonts w:ascii="Arial" w:cs="Arial" w:eastAsia="Arial" w:hAnsi="Arial"/>
          <w:color w:val="1A1A1A"/>
          <w:sz w:val="22"/>
          <w:szCs w:val="22"/>
        </w:rPr>
        <w:t xml:space="preserve">Support clinical reports from: Invitae, GeneDx, Ambry Genetics, Color Genomics, Quest Diagnostics, Blueprint Genetics, Baylor Genetics, Prevention Genetics</w:t>
      </w:r>
    </w:p>
    <w:p>
      <w:pPr>
        <w:pStyle w:val="ListParagraph"/>
        <w:numPr>
          <w:ilvl w:val="0"/>
          <w:numId w:val="2"/>
        </w:numPr>
        <w:spacing w:after="40" w:before="40"/>
      </w:pPr>
      <w:r>
        <w:rPr>
          <w:rFonts w:ascii="Arial" w:cs="Arial" w:eastAsia="Arial" w:hAnsi="Arial"/>
          <w:color w:val="1A1A1A"/>
          <w:sz w:val="22"/>
          <w:szCs w:val="22"/>
        </w:rPr>
        <w:t xml:space="preserve">Detect unsupported or unrecognized report formats and surface a clear error message</w:t>
      </w:r>
    </w:p>
    <w:p>
      <w:pPr>
        <w:pStyle w:val="ListParagraph"/>
        <w:numPr>
          <w:ilvl w:val="0"/>
          <w:numId w:val="2"/>
        </w:numPr>
        <w:spacing w:after="40" w:before="40"/>
      </w:pPr>
      <w:r>
        <w:rPr>
          <w:rFonts w:ascii="Arial" w:cs="Arial" w:eastAsia="Arial" w:hAnsi="Arial"/>
          <w:color w:val="1A1A1A"/>
          <w:sz w:val="22"/>
          <w:szCs w:val="22"/>
        </w:rPr>
        <w:t xml:space="preserve">Extract at minimum: gene symbol, HGVS notation, ACMG classification, condition name, inheritance mode, zygosity</w:t>
      </w:r>
    </w:p>
    <w:p>
      <w:pPr>
        <w:pStyle w:val="ListParagraph"/>
        <w:numPr>
          <w:ilvl w:val="0"/>
          <w:numId w:val="2"/>
        </w:numPr>
        <w:spacing w:after="40" w:before="40"/>
      </w:pPr>
      <w:r>
        <w:rPr>
          <w:rFonts w:ascii="Arial" w:cs="Arial" w:eastAsia="Arial" w:hAnsi="Arial"/>
          <w:color w:val="1A1A1A"/>
          <w:sz w:val="22"/>
          <w:szCs w:val="22"/>
        </w:rPr>
        <w:t xml:space="preserve">Fall back to LLM-based extraction when structured parsing fails, with lower confidence flag</w:t>
      </w:r>
    </w:p>
    <w:p>
      <w:pPr>
        <w:pStyle w:val="ListParagraph"/>
        <w:numPr>
          <w:ilvl w:val="0"/>
          <w:numId w:val="2"/>
        </w:numPr>
        <w:spacing w:after="40" w:before="40"/>
      </w:pPr>
      <w:r>
        <w:rPr>
          <w:rFonts w:ascii="Arial" w:cs="Arial" w:eastAsia="Arial" w:hAnsi="Arial"/>
          <w:color w:val="1A1A1A"/>
          <w:sz w:val="22"/>
          <w:szCs w:val="22"/>
        </w:rPr>
        <w:t xml:space="preserve">Process-and-discard model in v1: no PDF storage, no extracted data persistence after session</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5.2 LLM output requirements</w:t>
      </w:r>
    </w:p>
    <w:p>
      <w:pPr>
        <w:pStyle w:val="ListParagraph"/>
        <w:numPr>
          <w:ilvl w:val="0"/>
          <w:numId w:val="2"/>
        </w:numPr>
        <w:spacing w:after="40" w:before="40"/>
      </w:pPr>
      <w:r>
        <w:rPr>
          <w:rFonts w:ascii="Arial" w:cs="Arial" w:eastAsia="Arial" w:hAnsi="Arial"/>
          <w:color w:val="1A1A1A"/>
          <w:sz w:val="22"/>
          <w:szCs w:val="22"/>
        </w:rPr>
        <w:t xml:space="preserve">Plain-language summary: 150–250 words, 8th-grade reading level target, structured into: What was found / What this means / What is uncertain</w:t>
      </w:r>
    </w:p>
    <w:p>
      <w:pPr>
        <w:pStyle w:val="ListParagraph"/>
        <w:numPr>
          <w:ilvl w:val="0"/>
          <w:numId w:val="2"/>
        </w:numPr>
        <w:spacing w:after="40" w:before="40"/>
      </w:pPr>
      <w:r>
        <w:rPr>
          <w:rFonts w:ascii="Arial" w:cs="Arial" w:eastAsia="Arial" w:hAnsi="Arial"/>
          <w:color w:val="1A1A1A"/>
          <w:sz w:val="22"/>
          <w:szCs w:val="22"/>
        </w:rPr>
        <w:t xml:space="preserve">Variant cards: one card per variant, maximum 120 words per card, must include: gene function plain summary, classification explanation, sibling/parent risk statement if inheritance is known</w:t>
      </w:r>
    </w:p>
    <w:p>
      <w:pPr>
        <w:pStyle w:val="ListParagraph"/>
        <w:numPr>
          <w:ilvl w:val="0"/>
          <w:numId w:val="2"/>
        </w:numPr>
        <w:spacing w:after="40" w:before="40"/>
      </w:pPr>
      <w:r>
        <w:rPr>
          <w:rFonts w:ascii="Arial" w:cs="Arial" w:eastAsia="Arial" w:hAnsi="Arial"/>
          <w:color w:val="1A1A1A"/>
          <w:sz w:val="22"/>
          <w:szCs w:val="22"/>
        </w:rPr>
        <w:t xml:space="preserve">Questions list: 5–8 questions, tailored to the specific report, ranked by importance, phrased in first-person (e.g. 'What does it mean that my child has two copies of this variant?')</w:t>
      </w:r>
    </w:p>
    <w:p>
      <w:pPr>
        <w:pStyle w:val="ListParagraph"/>
        <w:numPr>
          <w:ilvl w:val="0"/>
          <w:numId w:val="2"/>
        </w:numPr>
        <w:spacing w:after="40" w:before="40"/>
      </w:pPr>
      <w:r>
        <w:rPr>
          <w:rFonts w:ascii="Arial" w:cs="Arial" w:eastAsia="Arial" w:hAnsi="Arial"/>
          <w:color w:val="1A1A1A"/>
          <w:sz w:val="22"/>
          <w:szCs w:val="22"/>
        </w:rPr>
        <w:t xml:space="preserve">All outputs must cite the source classification (e.g. 'ClinVar rates this variant as Pathogenic with 3-star review status')</w:t>
      </w:r>
    </w:p>
    <w:p>
      <w:pPr>
        <w:pStyle w:val="ListParagraph"/>
        <w:numPr>
          <w:ilvl w:val="0"/>
          <w:numId w:val="2"/>
        </w:numPr>
        <w:spacing w:after="40" w:before="40"/>
      </w:pPr>
      <w:r>
        <w:rPr>
          <w:rFonts w:ascii="Arial" w:cs="Arial" w:eastAsia="Arial" w:hAnsi="Arial"/>
          <w:color w:val="1A1A1A"/>
          <w:sz w:val="22"/>
          <w:szCs w:val="22"/>
        </w:rPr>
        <w:t xml:space="preserve">Explicit uncertainty surfacing: any variant classified as VUS must include a plain explanation of what VUS means and what follow-up is indicated</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5.3 Safety &amp; compliance requirements</w:t>
      </w:r>
    </w:p>
    <w:p>
      <w:pPr>
        <w:pStyle w:val="ListParagraph"/>
        <w:numPr>
          <w:ilvl w:val="0"/>
          <w:numId w:val="2"/>
        </w:numPr>
        <w:spacing w:after="40" w:before="40"/>
      </w:pPr>
      <w:r>
        <w:rPr>
          <w:rFonts w:ascii="Arial" w:cs="Arial" w:eastAsia="Arial" w:hAnsi="Arial"/>
          <w:color w:val="1A1A1A"/>
          <w:sz w:val="22"/>
          <w:szCs w:val="22"/>
        </w:rPr>
        <w:t xml:space="preserve">No diagnostic claims: system must not state or imply a diagnosis not already present in the lab report</w:t>
      </w:r>
    </w:p>
    <w:p>
      <w:pPr>
        <w:pStyle w:val="ListParagraph"/>
        <w:numPr>
          <w:ilvl w:val="0"/>
          <w:numId w:val="2"/>
        </w:numPr>
        <w:spacing w:after="40" w:before="40"/>
      </w:pPr>
      <w:r>
        <w:rPr>
          <w:rFonts w:ascii="Arial" w:cs="Arial" w:eastAsia="Arial" w:hAnsi="Arial"/>
          <w:color w:val="1A1A1A"/>
          <w:sz w:val="22"/>
          <w:szCs w:val="22"/>
        </w:rPr>
        <w:t xml:space="preserve">No treatment recommendations: system must not suggest, recommend, or imply any treatment or intervention</w:t>
      </w:r>
    </w:p>
    <w:p>
      <w:pPr>
        <w:pStyle w:val="ListParagraph"/>
        <w:numPr>
          <w:ilvl w:val="0"/>
          <w:numId w:val="2"/>
        </w:numPr>
        <w:spacing w:after="40" w:before="40"/>
      </w:pPr>
      <w:r>
        <w:rPr>
          <w:rFonts w:ascii="Arial" w:cs="Arial" w:eastAsia="Arial" w:hAnsi="Arial"/>
          <w:color w:val="1A1A1A"/>
          <w:sz w:val="22"/>
          <w:szCs w:val="22"/>
        </w:rPr>
        <w:t xml:space="preserve">Mandatory counselor referral: every output must include a visible referral to genetic counseling</w:t>
      </w:r>
    </w:p>
    <w:p>
      <w:pPr>
        <w:pStyle w:val="ListParagraph"/>
        <w:numPr>
          <w:ilvl w:val="0"/>
          <w:numId w:val="2"/>
        </w:numPr>
        <w:spacing w:after="40" w:before="40"/>
      </w:pPr>
      <w:r>
        <w:rPr>
          <w:rFonts w:ascii="Arial" w:cs="Arial" w:eastAsia="Arial" w:hAnsi="Arial"/>
          <w:color w:val="1A1A1A"/>
          <w:sz w:val="22"/>
          <w:szCs w:val="22"/>
        </w:rPr>
        <w:t xml:space="preserve">High-complexity flag: BRCA1, BRCA2, MLH1, MSH2, MSH6, PMS2, PALB2, TP53, STK11, CDH1 trigger elevated safety messaging</w:t>
      </w:r>
    </w:p>
    <w:p>
      <w:pPr>
        <w:pStyle w:val="ListParagraph"/>
        <w:numPr>
          <w:ilvl w:val="0"/>
          <w:numId w:val="2"/>
        </w:numPr>
        <w:spacing w:after="40" w:before="40"/>
      </w:pPr>
      <w:r>
        <w:rPr>
          <w:rFonts w:ascii="Arial" w:cs="Arial" w:eastAsia="Arial" w:hAnsi="Arial"/>
          <w:color w:val="1A1A1A"/>
          <w:sz w:val="22"/>
          <w:szCs w:val="22"/>
        </w:rPr>
        <w:t xml:space="preserve">Confidence display: every variant card must display an explicit confidence level (High / Moderate / Low / Uncertain)</w:t>
      </w:r>
    </w:p>
    <w:p>
      <w:pPr>
        <w:pStyle w:val="ListParagraph"/>
        <w:numPr>
          <w:ilvl w:val="0"/>
          <w:numId w:val="2"/>
        </w:numPr>
        <w:spacing w:after="40" w:before="40"/>
      </w:pPr>
      <w:r>
        <w:rPr>
          <w:rFonts w:ascii="Arial" w:cs="Arial" w:eastAsia="Arial" w:hAnsi="Arial"/>
          <w:color w:val="1A1A1A"/>
          <w:sz w:val="22"/>
          <w:szCs w:val="22"/>
        </w:rPr>
        <w:t xml:space="preserve">No data retention: in v1, no user data, uploaded files, or generated outputs are stored server-side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5.4 Export &amp; sharing</w:t>
      </w:r>
    </w:p>
    <w:p>
      <w:pPr>
        <w:pStyle w:val="ListParagraph"/>
        <w:numPr>
          <w:ilvl w:val="0"/>
          <w:numId w:val="2"/>
        </w:numPr>
        <w:spacing w:after="40" w:before="40"/>
      </w:pPr>
      <w:r>
        <w:rPr>
          <w:rFonts w:ascii="Arial" w:cs="Arial" w:eastAsia="Arial" w:hAnsi="Arial"/>
          <w:color w:val="1A1A1A"/>
          <w:sz w:val="22"/>
          <w:szCs w:val="22"/>
        </w:rPr>
        <w:t xml:space="preserve">Export generated outputs as a single formatted PDF</w:t>
      </w:r>
    </w:p>
    <w:p>
      <w:pPr>
        <w:pStyle w:val="ListParagraph"/>
        <w:numPr>
          <w:ilvl w:val="0"/>
          <w:numId w:val="2"/>
        </w:numPr>
        <w:spacing w:after="40" w:before="40"/>
      </w:pPr>
      <w:r>
        <w:rPr>
          <w:rFonts w:ascii="Arial" w:cs="Arial" w:eastAsia="Arial" w:hAnsi="Arial"/>
          <w:color w:val="1A1A1A"/>
          <w:sz w:val="22"/>
          <w:szCs w:val="22"/>
        </w:rPr>
        <w:t xml:space="preserve">PDF includes mandatory disclaimer footer on every page</w:t>
      </w:r>
    </w:p>
    <w:p>
      <w:pPr>
        <w:pStyle w:val="ListParagraph"/>
        <w:numPr>
          <w:ilvl w:val="0"/>
          <w:numId w:val="2"/>
        </w:numPr>
        <w:spacing w:after="40" w:before="40"/>
      </w:pPr>
      <w:r>
        <w:rPr>
          <w:rFonts w:ascii="Arial" w:cs="Arial" w:eastAsia="Arial" w:hAnsi="Arial"/>
          <w:color w:val="1A1A1A"/>
          <w:sz w:val="22"/>
          <w:szCs w:val="22"/>
        </w:rPr>
        <w:t xml:space="preserve">Copy-to-clipboard for individual sections</w:t>
      </w:r>
    </w:p>
    <w:p>
      <w:pPr>
        <w:pStyle w:val="ListParagraph"/>
        <w:numPr>
          <w:ilvl w:val="0"/>
          <w:numId w:val="2"/>
        </w:numPr>
        <w:spacing w:after="40" w:before="40"/>
      </w:pPr>
      <w:r>
        <w:rPr>
          <w:rFonts w:ascii="Arial" w:cs="Arial" w:eastAsia="Arial" w:hAnsi="Arial"/>
          <w:color w:val="1A1A1A"/>
          <w:sz w:val="22"/>
          <w:szCs w:val="22"/>
        </w:rPr>
        <w:t xml:space="preserve">Email sharing: user enters their own email to receive the output (no storage of email address after send)</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6. Technical Architecture</w:t>
      </w:r>
    </w:p>
    <w:p>
      <w:pPr>
        <w:pStyle w:val="Heading2"/>
        <w:spacing w:after="120" w:before="280"/>
      </w:pPr>
      <w:r>
        <w:rPr>
          <w:rFonts w:ascii="Arial" w:cs="Arial" w:eastAsia="Arial" w:hAnsi="Arial"/>
          <w:b/>
          <w:bCs/>
          <w:color w:val="0F6E56"/>
          <w:sz w:val="28"/>
          <w:szCs w:val="28"/>
        </w:rPr>
        <w:t xml:space="preserve">6.1 Stack</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Layer</w:t>
            </w:r>
          </w:p>
        </w:tc>
        <w:tc>
          <w:tcPr>
            <w:tcW w:type="dxa" w:w="63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Technology</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Frontend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Next.js (App Router) + Tailwind CSS — single-page upload and results flow</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PDF parsing — structured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pdfplumber (Python) for machine-generated PDFs with consistent table layouts</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PDF parsing — unstructured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LlamaParse or Unstructured.io for narrative/scanned reports</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Variant extraction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Rule-based extractor over parsed text; regex patterns per supported lab format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LLM inference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Claude claude-sonnet-4-20250514 (primary); GPT-4o (fallback). System prompt is the main IP.</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Grounding data — ClinVar</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ClinVar E-utilities API: pull variant evidence summary at query time by gene + variant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Grounding data — OMIM</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OMIM API: gene-disease associations, inheritance modes</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Grounding data — ACMG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Static reference document baked into system prompt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PDF export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Puppeteer server-side rendering of output HTML → PDF</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Hosting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Vercel (frontend) + AWS Lambda (Python extraction worker)</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Auth (v1)</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None — stateless, session-only processing</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6.2 Data flow</w:t>
      </w:r>
    </w:p>
    <w:p>
      <w:pPr>
        <w:spacing w:after="100" w:before="0"/>
        <w:jc w:val="left"/>
      </w:pPr>
      <w:r>
        <w:rPr>
          <w:rFonts w:ascii="Arial" w:cs="Arial" w:eastAsia="Arial" w:hAnsi="Arial"/>
          <w:b w:val="false"/>
          <w:bCs w:val="false"/>
          <w:i w:val="false"/>
          <w:iCs w:val="false"/>
          <w:color w:val="1A1A1A"/>
          <w:sz w:val="22"/>
          <w:szCs w:val="22"/>
        </w:rPr>
        <w:t xml:space="preserve">The processing pipeline is strictly sequential with explicit handoff points: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Step 1 — Upload: User submits PDF via browser. File is sent directly to Lambda extraction worker over HTTPS. File is never written to disk or S3.</w:t>
      </w:r>
    </w:p>
    <w:p>
      <w:pPr>
        <w:pStyle w:val="ListParagraph"/>
        <w:numPr>
          <w:ilvl w:val="0"/>
          <w:numId w:val="2"/>
        </w:numPr>
        <w:spacing w:after="40" w:before="40"/>
      </w:pPr>
      <w:r>
        <w:rPr>
          <w:rFonts w:ascii="Arial" w:cs="Arial" w:eastAsia="Arial" w:hAnsi="Arial"/>
          <w:color w:val="1A1A1A"/>
          <w:sz w:val="22"/>
          <w:szCs w:val="22"/>
        </w:rPr>
        <w:t xml:space="preserve">Step 2 — Parse: pdfplumber extracts text and table structure. Lab-specific extractor identifies variant rows and maps to structured fields.</w:t>
      </w:r>
    </w:p>
    <w:p>
      <w:pPr>
        <w:pStyle w:val="ListParagraph"/>
        <w:numPr>
          <w:ilvl w:val="0"/>
          <w:numId w:val="2"/>
        </w:numPr>
        <w:spacing w:after="40" w:before="40"/>
      </w:pPr>
      <w:r>
        <w:rPr>
          <w:rFonts w:ascii="Arial" w:cs="Arial" w:eastAsia="Arial" w:hAnsi="Arial"/>
          <w:color w:val="1A1A1A"/>
          <w:sz w:val="22"/>
          <w:szCs w:val="22"/>
        </w:rPr>
        <w:t xml:space="preserve">Step 3 — Validate: Extraction validator checks required fields are present. Missing required fields trigger partial-extraction flag.</w:t>
      </w:r>
    </w:p>
    <w:p>
      <w:pPr>
        <w:pStyle w:val="ListParagraph"/>
        <w:numPr>
          <w:ilvl w:val="0"/>
          <w:numId w:val="2"/>
        </w:numPr>
        <w:spacing w:after="40" w:before="40"/>
      </w:pPr>
      <w:r>
        <w:rPr>
          <w:rFonts w:ascii="Arial" w:cs="Arial" w:eastAsia="Arial" w:hAnsi="Arial"/>
          <w:color w:val="1A1A1A"/>
          <w:sz w:val="22"/>
          <w:szCs w:val="22"/>
        </w:rPr>
        <w:t xml:space="preserve">Step 4 — Enrich: For each variant, ClinVar and OMIM APIs are called to retrieve current evidence summaries. Results are cached in-memory for the session only.</w:t>
      </w:r>
    </w:p>
    <w:p>
      <w:pPr>
        <w:pStyle w:val="ListParagraph"/>
        <w:numPr>
          <w:ilvl w:val="0"/>
          <w:numId w:val="2"/>
        </w:numPr>
        <w:spacing w:after="40" w:before="40"/>
      </w:pPr>
      <w:r>
        <w:rPr>
          <w:rFonts w:ascii="Arial" w:cs="Arial" w:eastAsia="Arial" w:hAnsi="Arial"/>
          <w:color w:val="1A1A1A"/>
          <w:sz w:val="22"/>
          <w:szCs w:val="22"/>
        </w:rPr>
        <w:t xml:space="preserve">Step 5 — Prompt assembly: Structured payload + enrichment data + patient context + ACMG reference + safety instructions are assembled into the system prompt.</w:t>
      </w:r>
    </w:p>
    <w:p>
      <w:pPr>
        <w:pStyle w:val="ListParagraph"/>
        <w:numPr>
          <w:ilvl w:val="0"/>
          <w:numId w:val="2"/>
        </w:numPr>
        <w:spacing w:after="40" w:before="40"/>
      </w:pPr>
      <w:r>
        <w:rPr>
          <w:rFonts w:ascii="Arial" w:cs="Arial" w:eastAsia="Arial" w:hAnsi="Arial"/>
          <w:color w:val="1A1A1A"/>
          <w:sz w:val="22"/>
          <w:szCs w:val="22"/>
        </w:rPr>
        <w:t xml:space="preserve">Step 6 — LLM call: Prompt sent to Claude API. Response parsed into three output objects (summary, variant cards, questions).</w:t>
      </w:r>
    </w:p>
    <w:p>
      <w:pPr>
        <w:pStyle w:val="ListParagraph"/>
        <w:numPr>
          <w:ilvl w:val="0"/>
          <w:numId w:val="2"/>
        </w:numPr>
        <w:spacing w:after="40" w:before="40"/>
      </w:pPr>
      <w:r>
        <w:rPr>
          <w:rFonts w:ascii="Arial" w:cs="Arial" w:eastAsia="Arial" w:hAnsi="Arial"/>
          <w:color w:val="1A1A1A"/>
          <w:sz w:val="22"/>
          <w:szCs w:val="22"/>
        </w:rPr>
        <w:t xml:space="preserve">Step 7 — Safety check: Output classifier runs over LLM response. High-complexity flags applied. Confidence levels assigned.</w:t>
      </w:r>
    </w:p>
    <w:p>
      <w:pPr>
        <w:pStyle w:val="ListParagraph"/>
        <w:numPr>
          <w:ilvl w:val="0"/>
          <w:numId w:val="2"/>
        </w:numPr>
        <w:spacing w:after="40" w:before="40"/>
      </w:pPr>
      <w:r>
        <w:rPr>
          <w:rFonts w:ascii="Arial" w:cs="Arial" w:eastAsia="Arial" w:hAnsi="Arial"/>
          <w:color w:val="1A1A1A"/>
          <w:sz w:val="22"/>
          <w:szCs w:val="22"/>
        </w:rPr>
        <w:t xml:space="preserve">Step 8 — Render: Output objects sent to frontend. Results page rendered. Session data held in memory only.</w:t>
      </w:r>
    </w:p>
    <w:p>
      <w:pPr>
        <w:pStyle w:val="ListParagraph"/>
        <w:numPr>
          <w:ilvl w:val="0"/>
          <w:numId w:val="2"/>
        </w:numPr>
        <w:spacing w:after="40" w:before="40"/>
      </w:pPr>
      <w:r>
        <w:rPr>
          <w:rFonts w:ascii="Arial" w:cs="Arial" w:eastAsia="Arial" w:hAnsi="Arial"/>
          <w:color w:val="1A1A1A"/>
          <w:sz w:val="22"/>
          <w:szCs w:val="22"/>
        </w:rPr>
        <w:t xml:space="preserve">Step 9 — Export (optional): User requests PDF. Puppeteer renders output HTML to PDF server-side. PDF streamed to browser. Nothing stored.</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6.3 Prompt architecture</w:t>
      </w:r>
    </w:p>
    <w:p>
      <w:pPr>
        <w:spacing w:after="100" w:before="0"/>
        <w:jc w:val="left"/>
      </w:pPr>
      <w:r>
        <w:rPr>
          <w:rFonts w:ascii="Arial" w:cs="Arial" w:eastAsia="Arial" w:hAnsi="Arial"/>
          <w:b w:val="false"/>
          <w:bCs w:val="false"/>
          <w:i w:val="false"/>
          <w:iCs w:val="false"/>
          <w:color w:val="1A1A1A"/>
          <w:sz w:val="22"/>
          <w:szCs w:val="22"/>
        </w:rPr>
        <w:t xml:space="preserve">The LLM system prompt is the core IP of the product. It is structured in four sections: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Role definition: 'You are a genetic report interpreter assisting a family who has received a clinical genetic test result. Your role is to explain — not diagnose. You translate clinical findings into plain language, acknowledge uncertainty explicitly, and help families prepare to speak with their genetic counselor.'</w:t>
      </w:r>
    </w:p>
    <w:p>
      <w:pPr>
        <w:pStyle w:val="ListParagraph"/>
        <w:numPr>
          <w:ilvl w:val="0"/>
          <w:numId w:val="2"/>
        </w:numPr>
        <w:spacing w:after="40" w:before="40"/>
      </w:pPr>
      <w:r>
        <w:rPr>
          <w:rFonts w:ascii="Arial" w:cs="Arial" w:eastAsia="Arial" w:hAnsi="Arial"/>
          <w:color w:val="1A1A1A"/>
          <w:sz w:val="22"/>
          <w:szCs w:val="22"/>
        </w:rPr>
        <w:t xml:space="preserve">Clinical reference: ACMG classification definitions, ClinVar star rating interpretation, VUS explanation framework</w:t>
      </w:r>
    </w:p>
    <w:p>
      <w:pPr>
        <w:pStyle w:val="ListParagraph"/>
        <w:numPr>
          <w:ilvl w:val="0"/>
          <w:numId w:val="2"/>
        </w:numPr>
        <w:spacing w:after="40" w:before="40"/>
      </w:pPr>
      <w:r>
        <w:rPr>
          <w:rFonts w:ascii="Arial" w:cs="Arial" w:eastAsia="Arial" w:hAnsi="Arial"/>
          <w:color w:val="1A1A1A"/>
          <w:sz w:val="22"/>
          <w:szCs w:val="22"/>
        </w:rPr>
        <w:t xml:space="preserve">Structured input: JSON payload with extracted variant data, enrichment summaries, patient context</w:t>
      </w:r>
    </w:p>
    <w:p>
      <w:pPr>
        <w:pStyle w:val="ListParagraph"/>
        <w:numPr>
          <w:ilvl w:val="0"/>
          <w:numId w:val="2"/>
        </w:numPr>
        <w:spacing w:after="40" w:before="40"/>
      </w:pPr>
      <w:r>
        <w:rPr>
          <w:rFonts w:ascii="Arial" w:cs="Arial" w:eastAsia="Arial" w:hAnsi="Arial"/>
          <w:color w:val="1A1A1A"/>
          <w:sz w:val="22"/>
          <w:szCs w:val="22"/>
        </w:rPr>
        <w:t xml:space="preserve">Output schema: Strict JSON schema for the three output objects, with required fields and character limits. LLM must return valid JSON only.</w:t>
      </w:r>
    </w:p>
    <w:p>
      <w:pPr>
        <w:spacing w:after="0" w:before="0"/>
      </w:pPr>
      <w:r>
        <w:rPr>
          <w:rFonts w:ascii="Arial" w:cs="Arial" w:eastAsia="Arial" w:hAnsi="Arial"/>
          <w:sz w:val="22"/>
          <w:szCs w:val="22"/>
        </w:rPr>
        <w:t xml:space="preserve"/>
      </w:r>
    </w:p>
    <w:p>
      <w:pPr>
        <w:pBdr>
          <w:left w:val="single" w:color="534AB7" w:sz="12" w:space="4"/>
        </w:pBdr>
        <w:shd w:fill="EEEDFE" w:val="clear"/>
        <w:spacing w:after="120" w:before="120"/>
        <w:ind w:left="240" w:right="240"/>
      </w:pPr>
      <w:r>
        <w:rPr>
          <w:rFonts w:ascii="Arial" w:cs="Arial" w:eastAsia="Arial" w:hAnsi="Arial"/>
          <w:b/>
          <w:bCs/>
          <w:color w:val="534AB7"/>
          <w:sz w:val="20"/>
          <w:szCs w:val="20"/>
        </w:rPr>
        <w:t xml:space="preserve">Engineering priority:  </w:t>
      </w:r>
      <w:r>
        <w:rPr>
          <w:rFonts w:ascii="Arial" w:cs="Arial" w:eastAsia="Arial" w:hAnsi="Arial"/>
          <w:color w:val="1A1A1A"/>
          <w:sz w:val="20"/>
          <w:szCs w:val="20"/>
        </w:rPr>
        <w:t xml:space="preserve">Structured JSON output from the LLM is non-negotiable. Use response_format: { type: 'json_object' } or equivalent. A well-structured prompt returning structured data is dramatically more reliable than free-text generation.</w:t>
      </w:r>
    </w:p>
    <w:p>
      <w:pPr>
        <w:pStyle w:val="Heading2"/>
        <w:spacing w:after="120" w:before="280"/>
      </w:pPr>
      <w:r>
        <w:rPr>
          <w:rFonts w:ascii="Arial" w:cs="Arial" w:eastAsia="Arial" w:hAnsi="Arial"/>
          <w:b/>
          <w:bCs/>
          <w:color w:val="0F6E56"/>
          <w:sz w:val="28"/>
          <w:szCs w:val="28"/>
        </w:rPr>
        <w:t xml:space="preserve">6.4 Reliability and failure modes</w:t>
      </w:r>
    </w:p>
    <w:p>
      <w:pPr>
        <w:spacing w:after="100" w:before="0"/>
        <w:jc w:val="left"/>
      </w:pPr>
      <w:r>
        <w:rPr>
          <w:rFonts w:ascii="Arial" w:cs="Arial" w:eastAsia="Arial" w:hAnsi="Arial"/>
          <w:b w:val="false"/>
          <w:bCs w:val="false"/>
          <w:i w:val="false"/>
          <w:iCs w:val="false"/>
          <w:color w:val="1A1A1A"/>
          <w:sz w:val="22"/>
          <w:szCs w:val="22"/>
        </w:rPr>
        <w:t xml:space="preserve">The extraction layer is the most failure-prone component. Each failure mode has a defined fallback:</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Failure mode</w:t>
            </w:r>
          </w:p>
        </w:tc>
        <w:tc>
          <w:tcPr>
            <w:tcW w:type="dxa" w:w="63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Handling</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Unrecognized lab format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Surface to user; offer manual structured input form as fallback</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Partial extraction (some fields missing)</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Proceed with available fields; flag missing fields; lower confidence level</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ClinVar API unavailable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Proceed without enrichment; note in output that evidence summary is not available</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LLM returns invalid JSON</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Retry once with explicit format correction prompt; if still invalid, surface error</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LLM output fails safety check</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Suppress flagged sections; elevate counselor referral messaging; do not show partial output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Very complex multi-variant report (&gt;5 variants)</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Process up to 5 variants in detail; summarize remainder; flag for counselor review</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7. MVP Scope &amp; Roadmap</w:t>
      </w:r>
    </w:p>
    <w:p>
      <w:pPr>
        <w:pStyle w:val="Heading2"/>
        <w:spacing w:after="120" w:before="280"/>
      </w:pPr>
      <w:r>
        <w:rPr>
          <w:rFonts w:ascii="Arial" w:cs="Arial" w:eastAsia="Arial" w:hAnsi="Arial"/>
          <w:b/>
          <w:bCs/>
          <w:color w:val="0F6E56"/>
          <w:sz w:val="28"/>
          <w:szCs w:val="28"/>
        </w:rPr>
        <w:t xml:space="preserve">7.1 MVP (weeks 1–3)</w:t>
      </w:r>
    </w:p>
    <w:p>
      <w:pPr>
        <w:pBdr>
          <w:left w:val="single" w:color="0F6E56" w:sz="12" w:space="4"/>
        </w:pBdr>
        <w:shd w:fill="E1F5EE" w:val="clear"/>
        <w:spacing w:after="120" w:before="120"/>
        <w:ind w:left="240" w:right="240"/>
      </w:pPr>
      <w:r>
        <w:rPr>
          <w:rFonts w:ascii="Arial" w:cs="Arial" w:eastAsia="Arial" w:hAnsi="Arial"/>
          <w:b/>
          <w:bCs/>
          <w:color w:val="0F6E56"/>
          <w:sz w:val="20"/>
          <w:szCs w:val="20"/>
        </w:rPr>
        <w:t xml:space="preserve">Scope constraint:  </w:t>
      </w:r>
      <w:r>
        <w:rPr>
          <w:rFonts w:ascii="Arial" w:cs="Arial" w:eastAsia="Arial" w:hAnsi="Arial"/>
          <w:color w:val="1A1A1A"/>
          <w:sz w:val="20"/>
          <w:szCs w:val="20"/>
        </w:rPr>
        <w:t xml:space="preserve">The MVP proves that the core translation works reliably across the major lab formats. No accounts. No storage. No payments. Ship fast, collect real reports with consent, iterate on extraction accuracy.</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PDF upload interface (single page, drag-and-drop)</w:t>
      </w:r>
    </w:p>
    <w:p>
      <w:pPr>
        <w:pStyle w:val="ListParagraph"/>
        <w:numPr>
          <w:ilvl w:val="0"/>
          <w:numId w:val="2"/>
        </w:numPr>
        <w:spacing w:after="40" w:before="40"/>
      </w:pPr>
      <w:r>
        <w:rPr>
          <w:rFonts w:ascii="Arial" w:cs="Arial" w:eastAsia="Arial" w:hAnsi="Arial"/>
          <w:color w:val="1A1A1A"/>
          <w:sz w:val="22"/>
          <w:szCs w:val="22"/>
        </w:rPr>
        <w:t xml:space="preserve">Extraction support for: Invitae, GeneDx, Ambry (covers ~60% of US clinical volume)</w:t>
      </w:r>
    </w:p>
    <w:p>
      <w:pPr>
        <w:pStyle w:val="ListParagraph"/>
        <w:numPr>
          <w:ilvl w:val="0"/>
          <w:numId w:val="2"/>
        </w:numPr>
        <w:spacing w:after="40" w:before="40"/>
      </w:pPr>
      <w:r>
        <w:rPr>
          <w:rFonts w:ascii="Arial" w:cs="Arial" w:eastAsia="Arial" w:hAnsi="Arial"/>
          <w:color w:val="1A1A1A"/>
          <w:sz w:val="22"/>
          <w:szCs w:val="22"/>
        </w:rPr>
        <w:t xml:space="preserve">LLM summary + variant cards + questions output</w:t>
      </w:r>
    </w:p>
    <w:p>
      <w:pPr>
        <w:pStyle w:val="ListParagraph"/>
        <w:numPr>
          <w:ilvl w:val="0"/>
          <w:numId w:val="2"/>
        </w:numPr>
        <w:spacing w:after="40" w:before="40"/>
      </w:pPr>
      <w:r>
        <w:rPr>
          <w:rFonts w:ascii="Arial" w:cs="Arial" w:eastAsia="Arial" w:hAnsi="Arial"/>
          <w:color w:val="1A1A1A"/>
          <w:sz w:val="22"/>
          <w:szCs w:val="22"/>
        </w:rPr>
        <w:t xml:space="preserve">Static results page with copy-to-clipboard</w:t>
      </w:r>
    </w:p>
    <w:p>
      <w:pPr>
        <w:pStyle w:val="ListParagraph"/>
        <w:numPr>
          <w:ilvl w:val="0"/>
          <w:numId w:val="2"/>
        </w:numPr>
        <w:spacing w:after="40" w:before="40"/>
      </w:pPr>
      <w:r>
        <w:rPr>
          <w:rFonts w:ascii="Arial" w:cs="Arial" w:eastAsia="Arial" w:hAnsi="Arial"/>
          <w:color w:val="1A1A1A"/>
          <w:sz w:val="22"/>
          <w:szCs w:val="22"/>
        </w:rPr>
        <w:t xml:space="preserve">PDF export of output</w:t>
      </w:r>
    </w:p>
    <w:p>
      <w:pPr>
        <w:pStyle w:val="ListParagraph"/>
        <w:numPr>
          <w:ilvl w:val="0"/>
          <w:numId w:val="2"/>
        </w:numPr>
        <w:spacing w:after="40" w:before="40"/>
      </w:pPr>
      <w:r>
        <w:rPr>
          <w:rFonts w:ascii="Arial" w:cs="Arial" w:eastAsia="Arial" w:hAnsi="Arial"/>
          <w:color w:val="1A1A1A"/>
          <w:sz w:val="22"/>
          <w:szCs w:val="22"/>
        </w:rPr>
        <w:t xml:space="preserve">Mandatory disclaimer and counselor referral on all outputs</w:t>
      </w:r>
    </w:p>
    <w:p>
      <w:pPr>
        <w:pStyle w:val="ListParagraph"/>
        <w:numPr>
          <w:ilvl w:val="0"/>
          <w:numId w:val="2"/>
        </w:numPr>
        <w:spacing w:after="40" w:before="40"/>
      </w:pPr>
      <w:r>
        <w:rPr>
          <w:rFonts w:ascii="Arial" w:cs="Arial" w:eastAsia="Arial" w:hAnsi="Arial"/>
          <w:color w:val="1A1A1A"/>
          <w:sz w:val="22"/>
          <w:szCs w:val="22"/>
        </w:rPr>
        <w:t xml:space="preserve">Manual structured input form (fallback for unsupported lab formats)</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Explicitly out of scope for MVP: user accounts, report history, email delivery, B2B integrations, HIPAA compliance infrastructure, payment.</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7.2 v1.0 (weeks 4–8)</w:t>
      </w:r>
    </w:p>
    <w:p>
      <w:pPr>
        <w:pStyle w:val="ListParagraph"/>
        <w:numPr>
          <w:ilvl w:val="0"/>
          <w:numId w:val="2"/>
        </w:numPr>
        <w:spacing w:after="40" w:before="40"/>
      </w:pPr>
      <w:r>
        <w:rPr>
          <w:rFonts w:ascii="Arial" w:cs="Arial" w:eastAsia="Arial" w:hAnsi="Arial"/>
          <w:color w:val="1A1A1A"/>
          <w:sz w:val="22"/>
          <w:szCs w:val="22"/>
        </w:rPr>
        <w:t xml:space="preserve">Expand extraction support to: Color, Quest, Blueprint, Baylor, Prevention Genetics</w:t>
      </w:r>
    </w:p>
    <w:p>
      <w:pPr>
        <w:pStyle w:val="ListParagraph"/>
        <w:numPr>
          <w:ilvl w:val="0"/>
          <w:numId w:val="2"/>
        </w:numPr>
        <w:spacing w:after="40" w:before="40"/>
      </w:pPr>
      <w:r>
        <w:rPr>
          <w:rFonts w:ascii="Arial" w:cs="Arial" w:eastAsia="Arial" w:hAnsi="Arial"/>
          <w:color w:val="1A1A1A"/>
          <w:sz w:val="22"/>
          <w:szCs w:val="22"/>
        </w:rPr>
        <w:t xml:space="preserve">Confidence scoring displayed per variant</w:t>
      </w:r>
    </w:p>
    <w:p>
      <w:pPr>
        <w:pStyle w:val="ListParagraph"/>
        <w:numPr>
          <w:ilvl w:val="0"/>
          <w:numId w:val="2"/>
        </w:numPr>
        <w:spacing w:after="40" w:before="40"/>
      </w:pPr>
      <w:r>
        <w:rPr>
          <w:rFonts w:ascii="Arial" w:cs="Arial" w:eastAsia="Arial" w:hAnsi="Arial"/>
          <w:color w:val="1A1A1A"/>
          <w:sz w:val="22"/>
          <w:szCs w:val="22"/>
        </w:rPr>
        <w:t xml:space="preserve">High-complexity flag with elevated safety messaging</w:t>
      </w:r>
    </w:p>
    <w:p>
      <w:pPr>
        <w:pStyle w:val="ListParagraph"/>
        <w:numPr>
          <w:ilvl w:val="0"/>
          <w:numId w:val="2"/>
        </w:numPr>
        <w:spacing w:after="40" w:before="40"/>
      </w:pPr>
      <w:r>
        <w:rPr>
          <w:rFonts w:ascii="Arial" w:cs="Arial" w:eastAsia="Arial" w:hAnsi="Arial"/>
          <w:color w:val="1A1A1A"/>
          <w:sz w:val="22"/>
          <w:szCs w:val="22"/>
        </w:rPr>
        <w:t xml:space="preserve">Email delivery of output PDF</w:t>
      </w:r>
    </w:p>
    <w:p>
      <w:pPr>
        <w:pStyle w:val="ListParagraph"/>
        <w:numPr>
          <w:ilvl w:val="0"/>
          <w:numId w:val="2"/>
        </w:numPr>
        <w:spacing w:after="40" w:before="40"/>
      </w:pPr>
      <w:r>
        <w:rPr>
          <w:rFonts w:ascii="Arial" w:cs="Arial" w:eastAsia="Arial" w:hAnsi="Arial"/>
          <w:color w:val="1A1A1A"/>
          <w:sz w:val="22"/>
          <w:szCs w:val="22"/>
        </w:rPr>
        <w:t xml:space="preserve">Waitlist / early access signup</w:t>
      </w:r>
    </w:p>
    <w:p>
      <w:pPr>
        <w:pStyle w:val="ListParagraph"/>
        <w:numPr>
          <w:ilvl w:val="0"/>
          <w:numId w:val="2"/>
        </w:numPr>
        <w:spacing w:after="40" w:before="40"/>
      </w:pPr>
      <w:r>
        <w:rPr>
          <w:rFonts w:ascii="Arial" w:cs="Arial" w:eastAsia="Arial" w:hAnsi="Arial"/>
          <w:color w:val="1A1A1A"/>
          <w:sz w:val="22"/>
          <w:szCs w:val="22"/>
        </w:rPr>
        <w:t xml:space="preserve">Analytics on report types, extraction success rate, LLM output quality</w:t>
      </w:r>
    </w:p>
    <w:p>
      <w:pPr>
        <w:pStyle w:val="ListParagraph"/>
        <w:numPr>
          <w:ilvl w:val="0"/>
          <w:numId w:val="2"/>
        </w:numPr>
        <w:spacing w:after="40" w:before="40"/>
      </w:pPr>
      <w:r>
        <w:rPr>
          <w:rFonts w:ascii="Arial" w:cs="Arial" w:eastAsia="Arial" w:hAnsi="Arial"/>
          <w:color w:val="1A1A1A"/>
          <w:sz w:val="22"/>
          <w:szCs w:val="22"/>
        </w:rPr>
        <w:t xml:space="preserve">Basic A/B testing on output format and counselor referral placement</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7.3 v2.0 (months 3–6)</w:t>
      </w:r>
    </w:p>
    <w:p>
      <w:pPr>
        <w:pStyle w:val="ListParagraph"/>
        <w:numPr>
          <w:ilvl w:val="0"/>
          <w:numId w:val="2"/>
        </w:numPr>
        <w:spacing w:after="40" w:before="40"/>
      </w:pPr>
      <w:r>
        <w:rPr>
          <w:rFonts w:ascii="Arial" w:cs="Arial" w:eastAsia="Arial" w:hAnsi="Arial"/>
          <w:color w:val="1A1A1A"/>
          <w:sz w:val="22"/>
          <w:szCs w:val="22"/>
        </w:rPr>
        <w:t xml:space="preserve">User accounts with HIPAA-compliant report history (BAA with AWS)</w:t>
      </w:r>
    </w:p>
    <w:p>
      <w:pPr>
        <w:pStyle w:val="ListParagraph"/>
        <w:numPr>
          <w:ilvl w:val="0"/>
          <w:numId w:val="2"/>
        </w:numPr>
        <w:spacing w:after="40" w:before="40"/>
      </w:pPr>
      <w:r>
        <w:rPr>
          <w:rFonts w:ascii="Arial" w:cs="Arial" w:eastAsia="Arial" w:hAnsi="Arial"/>
          <w:color w:val="1A1A1A"/>
          <w:sz w:val="22"/>
          <w:szCs w:val="22"/>
        </w:rPr>
        <w:t xml:space="preserve">Genetic counselor review tier: AI output + async human review within 48 hours</w:t>
      </w:r>
    </w:p>
    <w:p>
      <w:pPr>
        <w:pStyle w:val="ListParagraph"/>
        <w:numPr>
          <w:ilvl w:val="0"/>
          <w:numId w:val="2"/>
        </w:numPr>
        <w:spacing w:after="40" w:before="40"/>
      </w:pPr>
      <w:r>
        <w:rPr>
          <w:rFonts w:ascii="Arial" w:cs="Arial" w:eastAsia="Arial" w:hAnsi="Arial"/>
          <w:color w:val="1A1A1A"/>
          <w:sz w:val="22"/>
          <w:szCs w:val="22"/>
        </w:rPr>
        <w:t xml:space="preserve">B2B2C integrations: patient advocacy organization white-label</w:t>
      </w:r>
    </w:p>
    <w:p>
      <w:pPr>
        <w:pStyle w:val="ListParagraph"/>
        <w:numPr>
          <w:ilvl w:val="0"/>
          <w:numId w:val="2"/>
        </w:numPr>
        <w:spacing w:after="40" w:before="40"/>
      </w:pPr>
      <w:r>
        <w:rPr>
          <w:rFonts w:ascii="Arial" w:cs="Arial" w:eastAsia="Arial" w:hAnsi="Arial"/>
          <w:color w:val="1A1A1A"/>
          <w:sz w:val="22"/>
          <w:szCs w:val="22"/>
        </w:rPr>
        <w:t xml:space="preserve">Clinical trial matching: surface relevant trials from ClinicalTrials.gov based on report content</w:t>
      </w:r>
    </w:p>
    <w:p>
      <w:pPr>
        <w:pStyle w:val="ListParagraph"/>
        <w:numPr>
          <w:ilvl w:val="0"/>
          <w:numId w:val="2"/>
        </w:numPr>
        <w:spacing w:after="40" w:before="40"/>
      </w:pPr>
      <w:r>
        <w:rPr>
          <w:rFonts w:ascii="Arial" w:cs="Arial" w:eastAsia="Arial" w:hAnsi="Arial"/>
          <w:color w:val="1A1A1A"/>
          <w:sz w:val="22"/>
          <w:szCs w:val="22"/>
        </w:rPr>
        <w:t xml:space="preserve">Sibling/parent risk calculator: interactive inheritance probability tool</w:t>
      </w:r>
    </w:p>
    <w:p>
      <w:pPr>
        <w:pStyle w:val="ListParagraph"/>
        <w:numPr>
          <w:ilvl w:val="0"/>
          <w:numId w:val="2"/>
        </w:numPr>
        <w:spacing w:after="40" w:before="40"/>
      </w:pPr>
      <w:r>
        <w:rPr>
          <w:rFonts w:ascii="Arial" w:cs="Arial" w:eastAsia="Arial" w:hAnsi="Arial"/>
          <w:color w:val="1A1A1A"/>
          <w:sz w:val="22"/>
          <w:szCs w:val="22"/>
        </w:rPr>
        <w:t xml:space="preserve">Symptom journal integration: longitudinal phenotype logging linked to genetic findings</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7.4 Build sequence rationale</w:t>
      </w:r>
    </w:p>
    <w:p>
      <w:pPr>
        <w:spacing w:after="100" w:before="0"/>
        <w:jc w:val="left"/>
      </w:pPr>
      <w:r>
        <w:rPr>
          <w:rFonts w:ascii="Arial" w:cs="Arial" w:eastAsia="Arial" w:hAnsi="Arial"/>
          <w:b w:val="false"/>
          <w:bCs w:val="false"/>
          <w:i w:val="false"/>
          <w:iCs w:val="false"/>
          <w:color w:val="1A1A1A"/>
          <w:sz w:val="22"/>
          <w:szCs w:val="22"/>
        </w:rPr>
        <w:t xml:space="preserve">The extraction layer should be built and validated before the LLM prompt is finalized. Test across 20–30 real reports (collected with consent from Reddit communities r/genetics, r/raredisease, and patient advocacy orgs) and measure extraction field accuracy. A 95%+ field accuracy rate is the threshold before investing in prompt optimization. Garbage extraction makes prompt engineering irrelevant.</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8. Safety &amp; Compliance Framework</w:t>
      </w:r>
    </w:p>
    <w:p>
      <w:pPr>
        <w:pStyle w:val="Heading2"/>
        <w:spacing w:after="120" w:before="280"/>
      </w:pPr>
      <w:r>
        <w:rPr>
          <w:rFonts w:ascii="Arial" w:cs="Arial" w:eastAsia="Arial" w:hAnsi="Arial"/>
          <w:b/>
          <w:bCs/>
          <w:color w:val="0F6E56"/>
          <w:sz w:val="28"/>
          <w:szCs w:val="28"/>
        </w:rPr>
        <w:t xml:space="preserve">8.1 Legal positioning</w:t>
      </w:r>
    </w:p>
    <w:p>
      <w:pPr>
        <w:spacing w:after="100" w:before="0"/>
        <w:jc w:val="left"/>
      </w:pPr>
      <w:r>
        <w:rPr>
          <w:rFonts w:ascii="Arial" w:cs="Arial" w:eastAsia="Arial" w:hAnsi="Arial"/>
          <w:b w:val="false"/>
          <w:bCs w:val="false"/>
          <w:i w:val="false"/>
          <w:iCs w:val="false"/>
          <w:color w:val="1A1A1A"/>
          <w:sz w:val="22"/>
          <w:szCs w:val="22"/>
        </w:rPr>
        <w:t xml:space="preserve">GeneTranslate operates in the education and information space, not the medical advice space. The product explains what a report says — it does not interpret results in a clinical context, suggest diagnoses, or recommend treatments. This positioning is well-established for patient education tools and is consistent with how genetic counseling literature itself distinguishes between 'information provision' and 'clinical counseling.'</w:t>
      </w:r>
    </w:p>
    <w:p>
      <w:pPr>
        <w:spacing w:after="0" w:before="0"/>
      </w:pPr>
      <w:r>
        <w:rPr>
          <w:rFonts w:ascii="Arial" w:cs="Arial" w:eastAsia="Arial" w:hAnsi="Arial"/>
          <w:sz w:val="22"/>
          <w:szCs w:val="22"/>
        </w:rPr>
        <w:t xml:space="preserve"/>
      </w:r>
    </w:p>
    <w:p>
      <w:pPr>
        <w:pBdr>
          <w:left w:val="single" w:color="854F0B" w:sz="12" w:space="4"/>
        </w:pBdr>
        <w:shd w:fill="FAEEDA" w:val="clear"/>
        <w:spacing w:after="120" w:before="120"/>
        <w:ind w:left="240" w:right="240"/>
      </w:pPr>
      <w:r>
        <w:rPr>
          <w:rFonts w:ascii="Arial" w:cs="Arial" w:eastAsia="Arial" w:hAnsi="Arial"/>
          <w:b/>
          <w:bCs/>
          <w:color w:val="854F0B"/>
          <w:sz w:val="20"/>
          <w:szCs w:val="20"/>
        </w:rPr>
        <w:t xml:space="preserve">Legal principle:  </w:t>
      </w:r>
      <w:r>
        <w:rPr>
          <w:rFonts w:ascii="Arial" w:cs="Arial" w:eastAsia="Arial" w:hAnsi="Arial"/>
          <w:color w:val="1A1A1A"/>
          <w:sz w:val="20"/>
          <w:szCs w:val="20"/>
        </w:rPr>
        <w:t xml:space="preserve">GeneTranslate is to genetic reports what a medical dictionary is to a diagnosis: it explains the words, not what the words mean for your specific clinical situation. That final interpretive step requires a licensed clinician.</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8.2 Terms of service requirements</w:t>
      </w:r>
    </w:p>
    <w:p>
      <w:pPr>
        <w:pStyle w:val="ListParagraph"/>
        <w:numPr>
          <w:ilvl w:val="0"/>
          <w:numId w:val="2"/>
        </w:numPr>
        <w:spacing w:after="40" w:before="40"/>
      </w:pPr>
      <w:r>
        <w:rPr>
          <w:rFonts w:ascii="Arial" w:cs="Arial" w:eastAsia="Arial" w:hAnsi="Arial"/>
          <w:color w:val="1A1A1A"/>
          <w:sz w:val="22"/>
          <w:szCs w:val="22"/>
        </w:rPr>
        <w:t xml:space="preserve">Explicit acknowledgment that GeneTranslate does not provide medical advice</w:t>
      </w:r>
    </w:p>
    <w:p>
      <w:pPr>
        <w:pStyle w:val="ListParagraph"/>
        <w:numPr>
          <w:ilvl w:val="0"/>
          <w:numId w:val="2"/>
        </w:numPr>
        <w:spacing w:after="40" w:before="40"/>
      </w:pPr>
      <w:r>
        <w:rPr>
          <w:rFonts w:ascii="Arial" w:cs="Arial" w:eastAsia="Arial" w:hAnsi="Arial"/>
          <w:color w:val="1A1A1A"/>
          <w:sz w:val="22"/>
          <w:szCs w:val="22"/>
        </w:rPr>
        <w:t xml:space="preserve">User confirms they are using the output for personal education only</w:t>
      </w:r>
    </w:p>
    <w:p>
      <w:pPr>
        <w:pStyle w:val="ListParagraph"/>
        <w:numPr>
          <w:ilvl w:val="0"/>
          <w:numId w:val="2"/>
        </w:numPr>
        <w:spacing w:after="40" w:before="40"/>
      </w:pPr>
      <w:r>
        <w:rPr>
          <w:rFonts w:ascii="Arial" w:cs="Arial" w:eastAsia="Arial" w:hAnsi="Arial"/>
          <w:color w:val="1A1A1A"/>
          <w:sz w:val="22"/>
          <w:szCs w:val="22"/>
        </w:rPr>
        <w:t xml:space="preserve">User confirms they will review outputs with a qualified clinician before making any health decisions</w:t>
      </w:r>
    </w:p>
    <w:p>
      <w:pPr>
        <w:pStyle w:val="ListParagraph"/>
        <w:numPr>
          <w:ilvl w:val="0"/>
          <w:numId w:val="2"/>
        </w:numPr>
        <w:spacing w:after="40" w:before="40"/>
      </w:pPr>
      <w:r>
        <w:rPr>
          <w:rFonts w:ascii="Arial" w:cs="Arial" w:eastAsia="Arial" w:hAnsi="Arial"/>
          <w:color w:val="1A1A1A"/>
          <w:sz w:val="22"/>
          <w:szCs w:val="22"/>
        </w:rPr>
        <w:t xml:space="preserve">Explicit consent for session-only processing (no data retention)</w:t>
      </w:r>
    </w:p>
    <w:p>
      <w:pPr>
        <w:pStyle w:val="ListParagraph"/>
        <w:numPr>
          <w:ilvl w:val="0"/>
          <w:numId w:val="2"/>
        </w:numPr>
        <w:spacing w:after="40" w:before="40"/>
      </w:pPr>
      <w:r>
        <w:rPr>
          <w:rFonts w:ascii="Arial" w:cs="Arial" w:eastAsia="Arial" w:hAnsi="Arial"/>
          <w:color w:val="1A1A1A"/>
          <w:sz w:val="22"/>
          <w:szCs w:val="22"/>
        </w:rPr>
        <w:t xml:space="preserve">Prohibition on using the service for clinical decision-making by healthcare providers</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8.3 Data handling (v1)</w:t>
      </w:r>
    </w:p>
    <w:p>
      <w:pPr>
        <w:spacing w:after="100" w:before="0"/>
        <w:jc w:val="left"/>
      </w:pPr>
      <w:r>
        <w:rPr>
          <w:rFonts w:ascii="Arial" w:cs="Arial" w:eastAsia="Arial" w:hAnsi="Arial"/>
          <w:b w:val="false"/>
          <w:bCs w:val="false"/>
          <w:i w:val="false"/>
          <w:iCs w:val="false"/>
          <w:color w:val="1A1A1A"/>
          <w:sz w:val="22"/>
          <w:szCs w:val="22"/>
        </w:rPr>
        <w:t xml:space="preserve">In v1, no PHI is retained. The uploaded PDF and all extracted data exist only in memory during the processing session. The Lambda worker processes the file and returns results; neither the file nor the results are written to storage. Session memory is cleared after the response is returned. This approach eliminates HIPAA obligations for v1 and dramatically reduces liability exposure.</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8.4 Output safety rules (enforced in prompt)</w:t>
      </w:r>
    </w:p>
    <w:p>
      <w:pPr>
        <w:pStyle w:val="ListParagraph"/>
        <w:numPr>
          <w:ilvl w:val="0"/>
          <w:numId w:val="2"/>
        </w:numPr>
        <w:spacing w:after="40" w:before="40"/>
      </w:pPr>
      <w:r>
        <w:rPr>
          <w:rFonts w:ascii="Arial" w:cs="Arial" w:eastAsia="Arial" w:hAnsi="Arial"/>
          <w:color w:val="1A1A1A"/>
          <w:sz w:val="22"/>
          <w:szCs w:val="22"/>
        </w:rPr>
        <w:t xml:space="preserve">Never state or imply a diagnosis not already present in the submitted report</w:t>
      </w:r>
    </w:p>
    <w:p>
      <w:pPr>
        <w:pStyle w:val="ListParagraph"/>
        <w:numPr>
          <w:ilvl w:val="0"/>
          <w:numId w:val="2"/>
        </w:numPr>
        <w:spacing w:after="40" w:before="40"/>
      </w:pPr>
      <w:r>
        <w:rPr>
          <w:rFonts w:ascii="Arial" w:cs="Arial" w:eastAsia="Arial" w:hAnsi="Arial"/>
          <w:color w:val="1A1A1A"/>
          <w:sz w:val="22"/>
          <w:szCs w:val="22"/>
        </w:rPr>
        <w:t xml:space="preserve">Never recommend, suggest, or imply any treatment, medication, or intervention</w:t>
      </w:r>
    </w:p>
    <w:p>
      <w:pPr>
        <w:pStyle w:val="ListParagraph"/>
        <w:numPr>
          <w:ilvl w:val="0"/>
          <w:numId w:val="2"/>
        </w:numPr>
        <w:spacing w:after="40" w:before="40"/>
      </w:pPr>
      <w:r>
        <w:rPr>
          <w:rFonts w:ascii="Arial" w:cs="Arial" w:eastAsia="Arial" w:hAnsi="Arial"/>
          <w:color w:val="1A1A1A"/>
          <w:sz w:val="22"/>
          <w:szCs w:val="22"/>
        </w:rPr>
        <w:t xml:space="preserve">Always explain what a VUS classification means and what it does not mean</w:t>
      </w:r>
    </w:p>
    <w:p>
      <w:pPr>
        <w:pStyle w:val="ListParagraph"/>
        <w:numPr>
          <w:ilvl w:val="0"/>
          <w:numId w:val="2"/>
        </w:numPr>
        <w:spacing w:after="40" w:before="40"/>
      </w:pPr>
      <w:r>
        <w:rPr>
          <w:rFonts w:ascii="Arial" w:cs="Arial" w:eastAsia="Arial" w:hAnsi="Arial"/>
          <w:color w:val="1A1A1A"/>
          <w:sz w:val="22"/>
          <w:szCs w:val="22"/>
        </w:rPr>
        <w:t xml:space="preserve">Always recommend genetic counseling — do not allow a user to exit the flow without a counselor referral</w:t>
      </w:r>
    </w:p>
    <w:p>
      <w:pPr>
        <w:pStyle w:val="ListParagraph"/>
        <w:numPr>
          <w:ilvl w:val="0"/>
          <w:numId w:val="2"/>
        </w:numPr>
        <w:spacing w:after="40" w:before="40"/>
      </w:pPr>
      <w:r>
        <w:rPr>
          <w:rFonts w:ascii="Arial" w:cs="Arial" w:eastAsia="Arial" w:hAnsi="Arial"/>
          <w:color w:val="1A1A1A"/>
          <w:sz w:val="22"/>
          <w:szCs w:val="22"/>
        </w:rPr>
        <w:t xml:space="preserve">Surface, do not suppress, uncertainty — if the evidence is limited, say so explicitly</w:t>
      </w:r>
    </w:p>
    <w:p>
      <w:pPr>
        <w:pStyle w:val="ListParagraph"/>
        <w:numPr>
          <w:ilvl w:val="0"/>
          <w:numId w:val="2"/>
        </w:numPr>
        <w:spacing w:after="40" w:before="40"/>
      </w:pPr>
      <w:r>
        <w:rPr>
          <w:rFonts w:ascii="Arial" w:cs="Arial" w:eastAsia="Arial" w:hAnsi="Arial"/>
          <w:color w:val="1A1A1A"/>
          <w:sz w:val="22"/>
          <w:szCs w:val="22"/>
        </w:rPr>
        <w:t xml:space="preserve">Never extrapolate beyond the report: do not comment on what variants were not found</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8.5 High-risk gene list (elevated safety protocol)</w:t>
      </w:r>
    </w:p>
    <w:p>
      <w:pPr>
        <w:spacing w:after="100" w:before="0"/>
        <w:jc w:val="left"/>
      </w:pPr>
      <w:r>
        <w:rPr>
          <w:rFonts w:ascii="Arial" w:cs="Arial" w:eastAsia="Arial" w:hAnsi="Arial"/>
          <w:b w:val="false"/>
          <w:bCs w:val="false"/>
          <w:i w:val="false"/>
          <w:iCs w:val="false"/>
          <w:color w:val="1A1A1A"/>
          <w:sz w:val="22"/>
          <w:szCs w:val="22"/>
        </w:rPr>
        <w:t xml:space="preserve">The following genes trigger a specific elevated safety protocol: output is generated but a prominent banner is displayed directing the user to a genetic counselor before discussing results with other family members. Outputs for these genes are prefaced with additional context about the emotional complexity of results.</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BRCA1, BRCA2 — hereditary breast and ovarian cancer</w:t>
      </w:r>
    </w:p>
    <w:p>
      <w:pPr>
        <w:pStyle w:val="ListParagraph"/>
        <w:numPr>
          <w:ilvl w:val="0"/>
          <w:numId w:val="2"/>
        </w:numPr>
        <w:spacing w:after="40" w:before="40"/>
      </w:pPr>
      <w:r>
        <w:rPr>
          <w:rFonts w:ascii="Arial" w:cs="Arial" w:eastAsia="Arial" w:hAnsi="Arial"/>
          <w:color w:val="1A1A1A"/>
          <w:sz w:val="22"/>
          <w:szCs w:val="22"/>
        </w:rPr>
        <w:t xml:space="preserve">MLH1, MSH2, MSH6, PMS2, EPCAM — Lynch syndrome</w:t>
      </w:r>
    </w:p>
    <w:p>
      <w:pPr>
        <w:pStyle w:val="ListParagraph"/>
        <w:numPr>
          <w:ilvl w:val="0"/>
          <w:numId w:val="2"/>
        </w:numPr>
        <w:spacing w:after="40" w:before="40"/>
      </w:pPr>
      <w:r>
        <w:rPr>
          <w:rFonts w:ascii="Arial" w:cs="Arial" w:eastAsia="Arial" w:hAnsi="Arial"/>
          <w:color w:val="1A1A1A"/>
          <w:sz w:val="22"/>
          <w:szCs w:val="22"/>
        </w:rPr>
        <w:t xml:space="preserve">PALB2, ATM, CHEK2 — breast cancer risk</w:t>
      </w:r>
    </w:p>
    <w:p>
      <w:pPr>
        <w:pStyle w:val="ListParagraph"/>
        <w:numPr>
          <w:ilvl w:val="0"/>
          <w:numId w:val="2"/>
        </w:numPr>
        <w:spacing w:after="40" w:before="40"/>
      </w:pPr>
      <w:r>
        <w:rPr>
          <w:rFonts w:ascii="Arial" w:cs="Arial" w:eastAsia="Arial" w:hAnsi="Arial"/>
          <w:color w:val="1A1A1A"/>
          <w:sz w:val="22"/>
          <w:szCs w:val="22"/>
        </w:rPr>
        <w:t xml:space="preserve">TP53 — Li-Fraumeni syndrome</w:t>
      </w:r>
    </w:p>
    <w:p>
      <w:pPr>
        <w:pStyle w:val="ListParagraph"/>
        <w:numPr>
          <w:ilvl w:val="0"/>
          <w:numId w:val="2"/>
        </w:numPr>
        <w:spacing w:after="40" w:before="40"/>
      </w:pPr>
      <w:r>
        <w:rPr>
          <w:rFonts w:ascii="Arial" w:cs="Arial" w:eastAsia="Arial" w:hAnsi="Arial"/>
          <w:color w:val="1A1A1A"/>
          <w:sz w:val="22"/>
          <w:szCs w:val="22"/>
        </w:rPr>
        <w:t xml:space="preserve">STK11 — Peutz-Jeghers syndrome</w:t>
      </w:r>
    </w:p>
    <w:p>
      <w:pPr>
        <w:pStyle w:val="ListParagraph"/>
        <w:numPr>
          <w:ilvl w:val="0"/>
          <w:numId w:val="2"/>
        </w:numPr>
        <w:spacing w:after="40" w:before="40"/>
      </w:pPr>
      <w:r>
        <w:rPr>
          <w:rFonts w:ascii="Arial" w:cs="Arial" w:eastAsia="Arial" w:hAnsi="Arial"/>
          <w:color w:val="1A1A1A"/>
          <w:sz w:val="22"/>
          <w:szCs w:val="22"/>
        </w:rPr>
        <w:t xml:space="preserve">CDH1 — hereditary diffuse gastric cancer</w:t>
      </w:r>
    </w:p>
    <w:p>
      <w:pPr>
        <w:pStyle w:val="ListParagraph"/>
        <w:numPr>
          <w:ilvl w:val="0"/>
          <w:numId w:val="2"/>
        </w:numPr>
        <w:spacing w:after="40" w:before="40"/>
      </w:pPr>
      <w:r>
        <w:rPr>
          <w:rFonts w:ascii="Arial" w:cs="Arial" w:eastAsia="Arial" w:hAnsi="Arial"/>
          <w:color w:val="1A1A1A"/>
          <w:sz w:val="22"/>
          <w:szCs w:val="22"/>
        </w:rPr>
        <w:t xml:space="preserve">MUTYH — colorectal cancer (biallelic)</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9. Business Model &amp; Go-to-Market</w:t>
      </w:r>
    </w:p>
    <w:p>
      <w:pPr>
        <w:pStyle w:val="Heading2"/>
        <w:spacing w:after="120" w:before="280"/>
      </w:pPr>
      <w:r>
        <w:rPr>
          <w:rFonts w:ascii="Arial" w:cs="Arial" w:eastAsia="Arial" w:hAnsi="Arial"/>
          <w:b/>
          <w:bCs/>
          <w:color w:val="0F6E56"/>
          <w:sz w:val="28"/>
          <w:szCs w:val="28"/>
        </w:rPr>
        <w:t xml:space="preserve">9.1 Monetization strategy</w:t>
      </w:r>
    </w:p>
    <w:p>
      <w:pPr>
        <w:spacing w:after="100" w:before="0"/>
        <w:jc w:val="left"/>
      </w:pPr>
      <w:r>
        <w:rPr>
          <w:rFonts w:ascii="Arial" w:cs="Arial" w:eastAsia="Arial" w:hAnsi="Arial"/>
          <w:b w:val="false"/>
          <w:bCs w:val="false"/>
          <w:i w:val="false"/>
          <w:iCs w:val="false"/>
          <w:color w:val="1A1A1A"/>
          <w:sz w:val="22"/>
          <w:szCs w:val="22"/>
        </w:rPr>
        <w:t xml:space="preserve">The recommended approach is a freemium model with a premium tier, rather than a paywall at upload. Families receiving a genetic report they cannot understand are in a frightened, time-sensitive moment. A hard paywall at the entry point creates friction at exactly the wrong time and undermines trust. Free access to the basic summary builds the trust that converts to premium.</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Tier</w:t>
            </w:r>
          </w:p>
        </w:tc>
        <w:tc>
          <w:tcPr>
            <w:tcW w:type="dxa" w:w="63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What's included</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Free</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Plain-language summary (Module C output 1). Mandatory counselor referral. No export.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Premium ($12/mo or $49 one-time per report)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Full variant cards + questions list. PDF export. Email delivery. Priority processing.</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Counselor Review ($89 per report)</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AI output + async review by a board-certified genetic counselor within 48 hours. Written annotation of AI output.</w:t>
            </w:r>
          </w:p>
        </w:tc>
      </w:tr>
      <w:tr>
        <w:tc>
          <w:tcPr>
            <w:tcW w:type="dxa" w:w="30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B2B2C (negotiated)</w:t>
            </w:r>
          </w:p>
        </w:tc>
        <w:tc>
          <w:tcPr>
            <w:tcW w:type="dxa" w:w="63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White-label for patient advocacy organizations. Volume pricing. Custom branding. Analytics dashboard.</w:t>
            </w:r>
          </w:p>
        </w:tc>
      </w:tr>
    </w:tbl>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9.2 Go-to-market sequence</w:t>
      </w:r>
    </w:p>
    <w:p>
      <w:pPr>
        <w:pStyle w:val="ListParagraph"/>
        <w:numPr>
          <w:ilvl w:val="0"/>
          <w:numId w:val="2"/>
        </w:numPr>
        <w:spacing w:after="40" w:before="40"/>
      </w:pPr>
      <w:r>
        <w:rPr>
          <w:rFonts w:ascii="Arial" w:cs="Arial" w:eastAsia="Arial" w:hAnsi="Arial"/>
          <w:color w:val="1A1A1A"/>
          <w:sz w:val="22"/>
          <w:szCs w:val="22"/>
        </w:rPr>
        <w:t xml:space="preserve">Month 1 — Validation: Launch MVP with a waitlist. Post in r/genetics, r/raredisease, and condition-specific subreddits. Partner with 2–3 patient advocacy organizations for early access. Target: 100 reports processed with consent.</w:t>
      </w:r>
    </w:p>
    <w:p>
      <w:pPr>
        <w:pStyle w:val="ListParagraph"/>
        <w:numPr>
          <w:ilvl w:val="0"/>
          <w:numId w:val="2"/>
        </w:numPr>
        <w:spacing w:after="40" w:before="40"/>
      </w:pPr>
      <w:r>
        <w:rPr>
          <w:rFonts w:ascii="Arial" w:cs="Arial" w:eastAsia="Arial" w:hAnsi="Arial"/>
          <w:color w:val="1A1A1A"/>
          <w:sz w:val="22"/>
          <w:szCs w:val="22"/>
        </w:rPr>
        <w:t xml:space="preserve">Month 2–3 — Iteration: Measure extraction accuracy, output quality (human review of 20% of outputs), and user satisfaction (NPS survey on results page). Iterate on extraction and prompt based on failure cases.</w:t>
      </w:r>
    </w:p>
    <w:p>
      <w:pPr>
        <w:pStyle w:val="ListParagraph"/>
        <w:numPr>
          <w:ilvl w:val="0"/>
          <w:numId w:val="2"/>
        </w:numPr>
        <w:spacing w:after="40" w:before="40"/>
      </w:pPr>
      <w:r>
        <w:rPr>
          <w:rFonts w:ascii="Arial" w:cs="Arial" w:eastAsia="Arial" w:hAnsi="Arial"/>
          <w:color w:val="1A1A1A"/>
          <w:sz w:val="22"/>
          <w:szCs w:val="22"/>
        </w:rPr>
        <w:t xml:space="preserve">Month 3–4 — Revenue: Launch premium tier. Identify the 3–5 most common conditions in the processed report corpus; create condition-specific landing pages (SEO).</w:t>
      </w:r>
    </w:p>
    <w:p>
      <w:pPr>
        <w:pStyle w:val="ListParagraph"/>
        <w:numPr>
          <w:ilvl w:val="0"/>
          <w:numId w:val="2"/>
        </w:numPr>
        <w:spacing w:after="40" w:before="40"/>
      </w:pPr>
      <w:r>
        <w:rPr>
          <w:rFonts w:ascii="Arial" w:cs="Arial" w:eastAsia="Arial" w:hAnsi="Arial"/>
          <w:color w:val="1A1A1A"/>
          <w:sz w:val="22"/>
          <w:szCs w:val="22"/>
        </w:rPr>
        <w:t xml:space="preserve">Month 4–6 — B2B2C: Approach 3 patient advocacy organizations with white-label proposal. Target orgs with &gt;10,000 members and existing engagement with diagnostic testing (e.g. NORD member organizations, Global Genes affiliates).</w:t>
      </w:r>
    </w:p>
    <w:p>
      <w:pPr>
        <w:spacing w:after="0" w:before="0"/>
      </w:pPr>
      <w:r>
        <w:rPr>
          <w:rFonts w:ascii="Arial" w:cs="Arial" w:eastAsia="Arial" w:hAnsi="Arial"/>
          <w:sz w:val="22"/>
          <w:szCs w:val="22"/>
        </w:rPr>
        <w:t xml:space="preserve"/>
      </w:r>
    </w:p>
    <w:p>
      <w:pPr>
        <w:pStyle w:val="Heading2"/>
        <w:spacing w:after="120" w:before="280"/>
      </w:pPr>
      <w:r>
        <w:rPr>
          <w:rFonts w:ascii="Arial" w:cs="Arial" w:eastAsia="Arial" w:hAnsi="Arial"/>
          <w:b/>
          <w:bCs/>
          <w:color w:val="0F6E56"/>
          <w:sz w:val="28"/>
          <w:szCs w:val="28"/>
        </w:rPr>
        <w:t xml:space="preserve">9.3 Key metrics</w:t>
      </w:r>
    </w:p>
    <w:p>
      <w:pPr>
        <w:pStyle w:val="ListParagraph"/>
        <w:numPr>
          <w:ilvl w:val="0"/>
          <w:numId w:val="2"/>
        </w:numPr>
        <w:spacing w:after="40" w:before="40"/>
      </w:pPr>
      <w:r>
        <w:rPr>
          <w:rFonts w:ascii="Arial" w:cs="Arial" w:eastAsia="Arial" w:hAnsi="Arial"/>
          <w:color w:val="1A1A1A"/>
          <w:sz w:val="22"/>
          <w:szCs w:val="22"/>
        </w:rPr>
        <w:t xml:space="preserve">Extraction accuracy rate (field-level, per lab format) — target: 95%+</w:t>
      </w:r>
    </w:p>
    <w:p>
      <w:pPr>
        <w:pStyle w:val="ListParagraph"/>
        <w:numPr>
          <w:ilvl w:val="0"/>
          <w:numId w:val="2"/>
        </w:numPr>
        <w:spacing w:after="40" w:before="40"/>
      </w:pPr>
      <w:r>
        <w:rPr>
          <w:rFonts w:ascii="Arial" w:cs="Arial" w:eastAsia="Arial" w:hAnsi="Arial"/>
          <w:color w:val="1A1A1A"/>
          <w:sz w:val="22"/>
          <w:szCs w:val="22"/>
        </w:rPr>
        <w:t xml:space="preserve">Output quality score (human review panel) — target: 4.2/5.0+</w:t>
      </w:r>
    </w:p>
    <w:p>
      <w:pPr>
        <w:pStyle w:val="ListParagraph"/>
        <w:numPr>
          <w:ilvl w:val="0"/>
          <w:numId w:val="2"/>
        </w:numPr>
        <w:spacing w:after="40" w:before="40"/>
      </w:pPr>
      <w:r>
        <w:rPr>
          <w:rFonts w:ascii="Arial" w:cs="Arial" w:eastAsia="Arial" w:hAnsi="Arial"/>
          <w:color w:val="1A1A1A"/>
          <w:sz w:val="22"/>
          <w:szCs w:val="22"/>
        </w:rPr>
        <w:t xml:space="preserve">Time to results — target: under 90 seconds end-to-end</w:t>
      </w:r>
    </w:p>
    <w:p>
      <w:pPr>
        <w:pStyle w:val="ListParagraph"/>
        <w:numPr>
          <w:ilvl w:val="0"/>
          <w:numId w:val="2"/>
        </w:numPr>
        <w:spacing w:after="40" w:before="40"/>
      </w:pPr>
      <w:r>
        <w:rPr>
          <w:rFonts w:ascii="Arial" w:cs="Arial" w:eastAsia="Arial" w:hAnsi="Arial"/>
          <w:color w:val="1A1A1A"/>
          <w:sz w:val="22"/>
          <w:szCs w:val="22"/>
        </w:rPr>
        <w:t xml:space="preserve">Free-to-premium conversion rate — target: 12–18%</w:t>
      </w:r>
    </w:p>
    <w:p>
      <w:pPr>
        <w:pStyle w:val="ListParagraph"/>
        <w:numPr>
          <w:ilvl w:val="0"/>
          <w:numId w:val="2"/>
        </w:numPr>
        <w:spacing w:after="40" w:before="40"/>
      </w:pPr>
      <w:r>
        <w:rPr>
          <w:rFonts w:ascii="Arial" w:cs="Arial" w:eastAsia="Arial" w:hAnsi="Arial"/>
          <w:color w:val="1A1A1A"/>
          <w:sz w:val="22"/>
          <w:szCs w:val="22"/>
        </w:rPr>
        <w:t xml:space="preserve">Counselor review attach rate (of premium users) — target: 25%</w:t>
      </w:r>
    </w:p>
    <w:p>
      <w:pPr>
        <w:pStyle w:val="ListParagraph"/>
        <w:numPr>
          <w:ilvl w:val="0"/>
          <w:numId w:val="2"/>
        </w:numPr>
        <w:spacing w:after="40" w:before="40"/>
      </w:pPr>
      <w:r>
        <w:rPr>
          <w:rFonts w:ascii="Arial" w:cs="Arial" w:eastAsia="Arial" w:hAnsi="Arial"/>
          <w:color w:val="1A1A1A"/>
          <w:sz w:val="22"/>
          <w:szCs w:val="22"/>
        </w:rPr>
        <w:t xml:space="preserve">NPS on results page — target: 60+</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10. Key Risks &amp; Mitigations</w:t>
      </w:r>
    </w:p>
    <w:p>
      <w:pPr>
        <w:spacing w:after="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Risk</w:t>
            </w:r>
          </w:p>
        </w:tc>
        <w:tc>
          <w:tcPr>
            <w:tcW w:type="dxa" w:w="6160"/>
            <w:tcBorders>
              <w:top w:val="single" w:color="D3D1C7" w:sz="1"/>
              <w:left w:val="single" w:color="D3D1C7" w:sz="1"/>
              <w:bottom w:val="single" w:color="D3D1C7" w:sz="1"/>
              <w:right w:val="single" w:color="D3D1C7" w:sz="1"/>
            </w:tcBorders>
            <w:shd w:fill="1B3A6B" w:val="clear"/>
            <w:tcMar>
              <w:top w:type="dxa" w:w="80"/>
              <w:left w:type="dxa" w:w="140"/>
              <w:bottom w:type="dxa" w:w="80"/>
              <w:right w:type="dxa" w:w="140"/>
            </w:tcMar>
          </w:tcPr>
          <w:p>
            <w:pPr>
              <w:spacing w:after="0" w:before="0"/>
            </w:pPr>
            <w:r>
              <w:rPr>
                <w:rFonts w:ascii="Arial" w:cs="Arial" w:eastAsia="Arial" w:hAnsi="Arial"/>
                <w:b/>
                <w:bCs/>
                <w:color w:val="FFFFFF"/>
                <w:sz w:val="20"/>
                <w:szCs w:val="20"/>
              </w:rPr>
              <w:t xml:space="preserve">Mitigation</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LLM misinterprets a variant; family acts on incorrect output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Grounded prompting on structured extraction (not raw PDF). Explicit confidence scoring. Every output carries a mandatory 'verify with clinician' message. Counselor Review tier provides human backstop.</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Extraction fails on a lab format; silent errors propagate to LLM</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Fail-loud extraction: missing required fields surface to the user, not silently. Manual input form as fallback. LLM prompt explicitly handles incomplete payloads.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HIPAA liability from handling PHI</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v1: process-and-discard. No storage. No accounts. Zero PHI retained. v2: BAA with AWS, full HIPAA infrastructure before enabling accounts.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Competitor with deeper clinical integrations (Epic, etc.)</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Integration requires enterprise sales cycles. GeneTranslate's advantage is consumer-facing speed and accessibility. Build trust and volume before the enterprise players move.</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User shares output with clinician who corrects it; reputational risk</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Treat clinician corrections as gold-standard training signal. Build a structured feedback loop. The Counselor Review tier explicitly solicits this.</w:t>
            </w:r>
          </w:p>
        </w:tc>
      </w:tr>
      <w:tr>
        <w:tc>
          <w:tcPr>
            <w:tcW w:type="dxa" w:w="3200"/>
            <w:tcBorders>
              <w:top w:val="single" w:color="D3D1C7" w:sz="1"/>
              <w:left w:val="single" w:color="D3D1C7" w:sz="1"/>
              <w:bottom w:val="single" w:color="D3D1C7" w:sz="1"/>
              <w:right w:val="single" w:color="D3D1C7" w:sz="1"/>
            </w:tcBorders>
            <w:shd w:fill="F1EFE8" w:val="clear"/>
            <w:tcMar>
              <w:top w:type="dxa" w:w="80"/>
              <w:left w:type="dxa" w:w="140"/>
              <w:bottom w:type="dxa" w:w="80"/>
              <w:right w:type="dxa" w:w="140"/>
            </w:tcMar>
          </w:tcPr>
          <w:p>
            <w:pPr>
              <w:spacing w:after="0" w:before="0"/>
            </w:pPr>
            <w:r>
              <w:rPr>
                <w:rFonts w:ascii="Arial" w:cs="Arial" w:eastAsia="Arial" w:hAnsi="Arial"/>
                <w:b/>
                <w:bCs/>
                <w:color w:val="1A1A1A"/>
                <w:sz w:val="20"/>
                <w:szCs w:val="20"/>
              </w:rPr>
              <w:t xml:space="preserve">High-risk gene result (BRCA1 etc.) causes distress without support</w:t>
            </w:r>
          </w:p>
        </w:tc>
        <w:tc>
          <w:tcPr>
            <w:tcW w:type="dxa" w:w="6160"/>
            <w:tcBorders>
              <w:top w:val="single" w:color="D3D1C7" w:sz="1"/>
              <w:left w:val="single" w:color="D3D1C7" w:sz="1"/>
              <w:bottom w:val="single" w:color="D3D1C7" w:sz="1"/>
              <w:right w:val="single" w:color="D3D1C7" w:sz="1"/>
            </w:tcBorders>
            <w:shd w:fill="FFFFFF" w:val="clear"/>
            <w:tcMar>
              <w:top w:type="dxa" w:w="80"/>
              <w:left w:type="dxa" w:w="140"/>
              <w:bottom w:type="dxa" w:w="80"/>
              <w:right w:type="dxa" w:w="140"/>
            </w:tcMar>
          </w:tcPr>
          <w:p>
            <w:pPr>
              <w:spacing w:after="0" w:before="0"/>
            </w:pPr>
            <w:r>
              <w:rPr>
                <w:rFonts w:ascii="Arial" w:cs="Arial" w:eastAsia="Arial" w:hAnsi="Arial"/>
                <w:b w:val="false"/>
                <w:bCs w:val="false"/>
                <w:color w:val="1A1A1A"/>
                <w:sz w:val="20"/>
                <w:szCs w:val="20"/>
              </w:rPr>
              <w:t xml:space="preserve">Elevated safety protocol: prominent counselor referral, NSGC helpline link, no ambiguous output on high-risk genes. Consider partnering with a telehealth genetic counseling service for direct booking.</w:t>
            </w:r>
          </w:p>
        </w:tc>
      </w:tr>
    </w:tbl>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11. Open Decisions</w:t>
      </w:r>
    </w:p>
    <w:p>
      <w:pPr>
        <w:spacing w:after="100" w:before="0"/>
        <w:jc w:val="left"/>
      </w:pPr>
      <w:r>
        <w:rPr>
          <w:rFonts w:ascii="Arial" w:cs="Arial" w:eastAsia="Arial" w:hAnsi="Arial"/>
          <w:b w:val="false"/>
          <w:bCs w:val="false"/>
          <w:i w:val="false"/>
          <w:iCs w:val="false"/>
          <w:color w:val="1A1A1A"/>
          <w:sz w:val="22"/>
          <w:szCs w:val="22"/>
        </w:rPr>
        <w:t xml:space="preserve">The following decisions are not resolved in this specification and require explicit choices before or during build:</w:t>
      </w:r>
    </w:p>
    <w:p>
      <w:pPr>
        <w:spacing w:after="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1A1A1A"/>
          <w:sz w:val="22"/>
          <w:szCs w:val="22"/>
        </w:rPr>
        <w:t xml:space="preserve">Authentication in v1: the process-and-discard model avoids auth complexity and HIPAA overhead. If any form of report saving is added, auth and HIPAA infrastructure must be scoped and budgeted before launch.</w:t>
      </w:r>
    </w:p>
    <w:p>
      <w:pPr>
        <w:pStyle w:val="ListParagraph"/>
        <w:numPr>
          <w:ilvl w:val="0"/>
          <w:numId w:val="2"/>
        </w:numPr>
        <w:spacing w:after="40" w:before="40"/>
      </w:pPr>
      <w:r>
        <w:rPr>
          <w:rFonts w:ascii="Arial" w:cs="Arial" w:eastAsia="Arial" w:hAnsi="Arial"/>
          <w:color w:val="1A1A1A"/>
          <w:sz w:val="22"/>
          <w:szCs w:val="22"/>
        </w:rPr>
        <w:t xml:space="preserve">LLM provider primary: Claude is recommended as primary due to superior instruction-following and reduced hallucination on structured prompts. GPT-4o as fallback adds resilience. Multi-provider adds latency; single-provider adds concentration risk. Decision: primary provider selection before prompt engineering begins.</w:t>
      </w:r>
    </w:p>
    <w:p>
      <w:pPr>
        <w:pStyle w:val="ListParagraph"/>
        <w:numPr>
          <w:ilvl w:val="0"/>
          <w:numId w:val="2"/>
        </w:numPr>
        <w:spacing w:after="40" w:before="40"/>
      </w:pPr>
      <w:r>
        <w:rPr>
          <w:rFonts w:ascii="Arial" w:cs="Arial" w:eastAsia="Arial" w:hAnsi="Arial"/>
          <w:color w:val="1A1A1A"/>
          <w:sz w:val="22"/>
          <w:szCs w:val="22"/>
        </w:rPr>
        <w:t xml:space="preserve">Counselor Review sourcing: the premium Counselor Review tier requires a network of board-certified genetic counselors willing to do async reviews. Options: hire contractors directly, partner with a telehealth genetics company (e.g. Genome Medical, Invitae's counselor network), or build a marketplace. This determines the economics and timeline for v2.</w:t>
      </w:r>
    </w:p>
    <w:p>
      <w:pPr>
        <w:pStyle w:val="ListParagraph"/>
        <w:numPr>
          <w:ilvl w:val="0"/>
          <w:numId w:val="2"/>
        </w:numPr>
        <w:spacing w:after="40" w:before="40"/>
      </w:pPr>
      <w:r>
        <w:rPr>
          <w:rFonts w:ascii="Arial" w:cs="Arial" w:eastAsia="Arial" w:hAnsi="Arial"/>
          <w:color w:val="1A1A1A"/>
          <w:sz w:val="22"/>
          <w:szCs w:val="22"/>
        </w:rPr>
        <w:t xml:space="preserve">Condition specificity: a horizontal product (all genetic disorders) has broad reach but shallow SEO and community trust. Launching with a condition-specific focus (e.g. rare pediatric conditions only) builds deeper community trust faster. Decision: validate with community engagement before committing to horizontal.</w:t>
      </w:r>
    </w:p>
    <w:p>
      <w:pPr>
        <w:pStyle w:val="ListParagraph"/>
        <w:numPr>
          <w:ilvl w:val="0"/>
          <w:numId w:val="2"/>
        </w:numPr>
        <w:spacing w:after="40" w:before="40"/>
      </w:pPr>
      <w:r>
        <w:rPr>
          <w:rFonts w:ascii="Arial" w:cs="Arial" w:eastAsia="Arial" w:hAnsi="Arial"/>
          <w:color w:val="1A1A1A"/>
          <w:sz w:val="22"/>
          <w:szCs w:val="22"/>
        </w:rPr>
        <w:t xml:space="preserve">International scope: ACMG guidelines are US-centric. European labs use ACMG/AMP joint guidelines with minor differences. Non-English reports require translation infrastructure. v1 is US-only English-only; international scope requires explicit product decision.</w:t>
      </w:r>
    </w:p>
    <w:p>
      <w:pPr>
        <w:spacing w:after="0" w:before="0"/>
      </w:pPr>
      <w:r>
        <w:br w:type="page"/>
      </w:r>
    </w:p>
    <w:p>
      <w:pPr>
        <w:pStyle w:val="Heading1"/>
        <w:pBdr>
          <w:bottom w:val="single" w:color="1B3A6B" w:sz="6" w:space="4"/>
        </w:pBdr>
        <w:spacing w:after="160" w:before="360"/>
      </w:pPr>
      <w:r>
        <w:rPr>
          <w:rFonts w:ascii="Arial" w:cs="Arial" w:eastAsia="Arial" w:hAnsi="Arial"/>
          <w:b/>
          <w:bCs/>
          <w:color w:val="1B3A6B"/>
          <w:sz w:val="36"/>
          <w:szCs w:val="36"/>
        </w:rPr>
        <w:t xml:space="preserve">12. Appendix: Key External Resources</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Clinical databases and APIs referenced in this specification:</w:t>
      </w:r>
    </w:p>
    <w:p>
      <w:pPr>
        <w:pStyle w:val="ListParagraph"/>
        <w:numPr>
          <w:ilvl w:val="0"/>
          <w:numId w:val="2"/>
        </w:numPr>
        <w:spacing w:after="40" w:before="40"/>
      </w:pPr>
      <w:r>
        <w:rPr>
          <w:rFonts w:ascii="Arial" w:cs="Arial" w:eastAsia="Arial" w:hAnsi="Arial"/>
          <w:color w:val="1A1A1A"/>
          <w:sz w:val="22"/>
          <w:szCs w:val="22"/>
        </w:rPr>
        <w:t xml:space="preserve">ClinVar — variant evidence database: https://www.ncbi.nlm.nih.gov/clinvar/</w:t>
      </w:r>
    </w:p>
    <w:p>
      <w:pPr>
        <w:pStyle w:val="ListParagraph"/>
        <w:numPr>
          <w:ilvl w:val="0"/>
          <w:numId w:val="2"/>
        </w:numPr>
        <w:spacing w:after="40" w:before="40"/>
      </w:pPr>
      <w:r>
        <w:rPr>
          <w:rFonts w:ascii="Arial" w:cs="Arial" w:eastAsia="Arial" w:hAnsi="Arial"/>
          <w:color w:val="1A1A1A"/>
          <w:sz w:val="22"/>
          <w:szCs w:val="22"/>
        </w:rPr>
        <w:t xml:space="preserve">OMIM — gene-disease associations: https://www.omim.org/</w:t>
      </w:r>
    </w:p>
    <w:p>
      <w:pPr>
        <w:pStyle w:val="ListParagraph"/>
        <w:numPr>
          <w:ilvl w:val="0"/>
          <w:numId w:val="2"/>
        </w:numPr>
        <w:spacing w:after="40" w:before="40"/>
      </w:pPr>
      <w:r>
        <w:rPr>
          <w:rFonts w:ascii="Arial" w:cs="Arial" w:eastAsia="Arial" w:hAnsi="Arial"/>
          <w:color w:val="1A1A1A"/>
          <w:sz w:val="22"/>
          <w:szCs w:val="22"/>
        </w:rPr>
        <w:t xml:space="preserve">ACMG variant classification guidelines: https://www.acmg.net/</w:t>
      </w:r>
    </w:p>
    <w:p>
      <w:pPr>
        <w:pStyle w:val="ListParagraph"/>
        <w:numPr>
          <w:ilvl w:val="0"/>
          <w:numId w:val="2"/>
        </w:numPr>
        <w:spacing w:after="40" w:before="40"/>
      </w:pPr>
      <w:r>
        <w:rPr>
          <w:rFonts w:ascii="Arial" w:cs="Arial" w:eastAsia="Arial" w:hAnsi="Arial"/>
          <w:color w:val="1A1A1A"/>
          <w:sz w:val="22"/>
          <w:szCs w:val="22"/>
        </w:rPr>
        <w:t xml:space="preserve">ClinVar E-utilities API: https://www.ncbi.nlm.nih.gov/books/NBK25497/</w:t>
      </w:r>
    </w:p>
    <w:p>
      <w:pPr>
        <w:pStyle w:val="ListParagraph"/>
        <w:numPr>
          <w:ilvl w:val="0"/>
          <w:numId w:val="2"/>
        </w:numPr>
        <w:spacing w:after="40" w:before="40"/>
      </w:pPr>
      <w:r>
        <w:rPr>
          <w:rFonts w:ascii="Arial" w:cs="Arial" w:eastAsia="Arial" w:hAnsi="Arial"/>
          <w:color w:val="1A1A1A"/>
          <w:sz w:val="22"/>
          <w:szCs w:val="22"/>
        </w:rPr>
        <w:t xml:space="preserve">OMIM API: https://www.omim.org/api</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Patient communities for early access and test corpus collection:</w:t>
      </w:r>
    </w:p>
    <w:p>
      <w:pPr>
        <w:pStyle w:val="ListParagraph"/>
        <w:numPr>
          <w:ilvl w:val="0"/>
          <w:numId w:val="2"/>
        </w:numPr>
        <w:spacing w:after="40" w:before="40"/>
      </w:pPr>
      <w:r>
        <w:rPr>
          <w:rFonts w:ascii="Arial" w:cs="Arial" w:eastAsia="Arial" w:hAnsi="Arial"/>
          <w:color w:val="1A1A1A"/>
          <w:sz w:val="22"/>
          <w:szCs w:val="22"/>
        </w:rPr>
        <w:t xml:space="preserve">Reddit: r/genetics, r/raredisease, r/23andme</w:t>
      </w:r>
    </w:p>
    <w:p>
      <w:pPr>
        <w:pStyle w:val="ListParagraph"/>
        <w:numPr>
          <w:ilvl w:val="0"/>
          <w:numId w:val="2"/>
        </w:numPr>
        <w:spacing w:after="40" w:before="40"/>
      </w:pPr>
      <w:r>
        <w:rPr>
          <w:rFonts w:ascii="Arial" w:cs="Arial" w:eastAsia="Arial" w:hAnsi="Arial"/>
          <w:color w:val="1A1A1A"/>
          <w:sz w:val="22"/>
          <w:szCs w:val="22"/>
        </w:rPr>
        <w:t xml:space="preserve">NORD (National Organization for Rare Disorders): https://rarediseases.org/</w:t>
      </w:r>
    </w:p>
    <w:p>
      <w:pPr>
        <w:pStyle w:val="ListParagraph"/>
        <w:numPr>
          <w:ilvl w:val="0"/>
          <w:numId w:val="2"/>
        </w:numPr>
        <w:spacing w:after="40" w:before="40"/>
      </w:pPr>
      <w:r>
        <w:rPr>
          <w:rFonts w:ascii="Arial" w:cs="Arial" w:eastAsia="Arial" w:hAnsi="Arial"/>
          <w:color w:val="1A1A1A"/>
          <w:sz w:val="22"/>
          <w:szCs w:val="22"/>
        </w:rPr>
        <w:t xml:space="preserve">Global Genes: https://globalgenes.org/</w:t>
      </w:r>
    </w:p>
    <w:p>
      <w:pPr>
        <w:pStyle w:val="ListParagraph"/>
        <w:numPr>
          <w:ilvl w:val="0"/>
          <w:numId w:val="2"/>
        </w:numPr>
        <w:spacing w:after="40" w:before="40"/>
      </w:pPr>
      <w:r>
        <w:rPr>
          <w:rFonts w:ascii="Arial" w:cs="Arial" w:eastAsia="Arial" w:hAnsi="Arial"/>
          <w:color w:val="1A1A1A"/>
          <w:sz w:val="22"/>
          <w:szCs w:val="22"/>
        </w:rPr>
        <w:t xml:space="preserve">NSGC (genetic counselor referral): https://www.nsgc.org/findageneticcounselor</w:t>
      </w:r>
    </w:p>
    <w:p>
      <w:pPr>
        <w:spacing w:after="0" w:before="0"/>
      </w:pPr>
      <w:r>
        <w:rPr>
          <w:rFonts w:ascii="Arial" w:cs="Arial" w:eastAsia="Arial" w:hAnsi="Arial"/>
          <w:sz w:val="22"/>
          <w:szCs w:val="22"/>
        </w:rPr>
        <w:t xml:space="preserve"/>
      </w:r>
    </w:p>
    <w:p>
      <w:pPr>
        <w:spacing w:after="100" w:before="0"/>
        <w:jc w:val="left"/>
      </w:pPr>
      <w:r>
        <w:rPr>
          <w:rFonts w:ascii="Arial" w:cs="Arial" w:eastAsia="Arial" w:hAnsi="Arial"/>
          <w:b w:val="false"/>
          <w:bCs w:val="false"/>
          <w:i w:val="false"/>
          <w:iCs w:val="false"/>
          <w:color w:val="1A1A1A"/>
          <w:sz w:val="22"/>
          <w:szCs w:val="22"/>
        </w:rPr>
        <w:t xml:space="preserve">Technical libraries:</w:t>
      </w:r>
    </w:p>
    <w:p>
      <w:pPr>
        <w:pStyle w:val="ListParagraph"/>
        <w:numPr>
          <w:ilvl w:val="0"/>
          <w:numId w:val="2"/>
        </w:numPr>
        <w:spacing w:after="40" w:before="40"/>
      </w:pPr>
      <w:r>
        <w:rPr>
          <w:rFonts w:ascii="Arial" w:cs="Arial" w:eastAsia="Arial" w:hAnsi="Arial"/>
          <w:color w:val="1A1A1A"/>
          <w:sz w:val="22"/>
          <w:szCs w:val="22"/>
        </w:rPr>
        <w:t xml:space="preserve">pdfplumber (Python PDF parsing): https://github.com/jsvine/pdfplumber</w:t>
      </w:r>
    </w:p>
    <w:p>
      <w:pPr>
        <w:pStyle w:val="ListParagraph"/>
        <w:numPr>
          <w:ilvl w:val="0"/>
          <w:numId w:val="2"/>
        </w:numPr>
        <w:spacing w:after="40" w:before="40"/>
      </w:pPr>
      <w:r>
        <w:rPr>
          <w:rFonts w:ascii="Arial" w:cs="Arial" w:eastAsia="Arial" w:hAnsi="Arial"/>
          <w:color w:val="1A1A1A"/>
          <w:sz w:val="22"/>
          <w:szCs w:val="22"/>
        </w:rPr>
        <w:t xml:space="preserve">LlamaParse (unstructured PDF): https://github.com/run-llama/llama_parse</w:t>
      </w:r>
    </w:p>
    <w:p>
      <w:pPr>
        <w:pStyle w:val="ListParagraph"/>
        <w:numPr>
          <w:ilvl w:val="0"/>
          <w:numId w:val="2"/>
        </w:numPr>
        <w:spacing w:after="40" w:before="40"/>
      </w:pPr>
      <w:r>
        <w:rPr>
          <w:rFonts w:ascii="Arial" w:cs="Arial" w:eastAsia="Arial" w:hAnsi="Arial"/>
          <w:color w:val="1A1A1A"/>
          <w:sz w:val="22"/>
          <w:szCs w:val="22"/>
        </w:rPr>
        <w:t xml:space="preserve">Unstructured.io: https://unstructured.io/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2"/>
      </w:pBdr>
      <w:tabs>
        <w:tab w:val="right" w:pos="9360"/>
      </w:tabs>
      <w:spacing w:after="0" w:before="120"/>
    </w:pPr>
    <w:r>
      <w:rPr>
        <w:rFonts w:ascii="Arial" w:cs="Arial" w:eastAsia="Arial" w:hAnsi="Arial"/>
        <w:color w:val="444441"/>
        <w:sz w:val="18"/>
        <w:szCs w:val="18"/>
      </w:rPr>
      <w:t xml:space="preserve">© 2026 GeneTranslate. All rights reserved.</w:t>
    </w:r>
    <w:r>
      <w:rPr>
        <w:rFonts w:ascii="Arial" w:cs="Arial" w:eastAsia="Arial" w:hAnsi="Arial"/>
        <w:sz w:val="18"/>
        <w:szCs w:val="18"/>
      </w:rPr>
      <w:t xml:space="preserve">	</w:t>
    </w:r>
    <w:r>
      <w:rPr>
        <w:rFonts w:ascii="Arial" w:cs="Arial" w:eastAsia="Arial" w:hAnsi="Arial"/>
        <w:color w:val="444441"/>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2"/>
      </w:pBdr>
      <w:tabs>
        <w:tab w:val="right" w:pos="9360"/>
      </w:tabs>
      <w:spacing w:after="120" w:before="0"/>
    </w:pPr>
    <w:r>
      <w:rPr>
        <w:rFonts w:ascii="Arial" w:cs="Arial" w:eastAsia="Arial" w:hAnsi="Arial"/>
        <w:color w:val="444441"/>
        <w:sz w:val="18"/>
        <w:szCs w:val="18"/>
      </w:rPr>
      <w:t xml:space="preserve">GeneTranslate  ·  Product Specification</w:t>
    </w:r>
    <w:r>
      <w:rPr>
        <w:rFonts w:ascii="Arial" w:cs="Arial" w:eastAsia="Arial" w:hAnsi="Arial"/>
        <w:sz w:val="18"/>
        <w:szCs w:val="18"/>
      </w:rPr>
      <w:t xml:space="preserve">	</w:t>
    </w:r>
    <w:r>
      <w:rPr>
        <w:rFonts w:ascii="Arial" w:cs="Arial" w:eastAsia="Arial" w:hAnsi="Arial"/>
        <w:b/>
        <w:bCs/>
        <w:color w:val="993C1D"/>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2026-04-13T08:57:02.438Z</dcterms:created>
  <dcterms:modified xsi:type="dcterms:W3CDTF">2026-04-13T08:57:02.439Z</dcterms:modified>
</cp:coreProperties>
</file>

<file path=docProps/custom.xml><?xml version="1.0" encoding="utf-8"?>
<Properties xmlns="http://schemas.openxmlformats.org/officeDocument/2006/custom-properties" xmlns:vt="http://schemas.openxmlformats.org/officeDocument/2006/docPropsVTypes"/>
</file>