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002060"/>
          <w:sz w:val="36"/>
        </w:rPr>
        <w:t>Rejecting the Unseen: Zero-Day Malware Detection via Learnable-Radius Metric-Contrastive Embeddings</w:t>
      </w:r>
    </w:p>
    <w:p>
      <w:pPr>
        <w:spacing w:after="280"/>
        <w:jc w:val="center"/>
      </w:pPr>
      <w:r>
        <w:rPr>
          <w:rFonts w:ascii="Times New Roman" w:hAnsi="Times New Roman"/>
          <w:i w:val="0"/>
          <w:sz w:val="20"/>
        </w:rPr>
        <w:t>Khushhal Kumar Bansal</w:t>
        <w:br/>
        <w:t>Department of Computer Science and Engineering</w:t>
        <w:br/>
        <w:t>Manipal University Jaipur, India</w:t>
        <w:br/>
      </w:r>
    </w:p>
    <w:p>
      <w:pPr>
        <w:spacing w:before="80" w:after="80" w:line="276" w:lineRule="auto"/>
      </w:pPr>
      <w:r>
        <w:rPr>
          <w:rFonts w:ascii="Times New Roman" w:hAnsi="Times New Roman"/>
          <w:b/>
          <w:i/>
          <w:sz w:val="18"/>
        </w:rPr>
        <w:t>Abstract—</w:t>
      </w:r>
      <w:r>
        <w:rPr>
          <w:rFonts w:ascii="Times New Roman" w:hAnsi="Times New Roman"/>
          <w:b/>
          <w:sz w:val="18"/>
        </w:rPr>
        <w:t>Zero-day malware presents a critical threat to modern cyber defense because adversarial code weaponizes vulnerabilities before any signature or heuristic rule exists. Conventional antivirus tools match static byte patterns, while deep closed-set neural classifiers force all probability mass across previously observed classes; neither can express rejection when confronted with unfamiliar distribution shifts. In this paper, we formulate zero-day malware detection as an open-set recognition problem and introduce Learnable-Radius Metric-Contrastive (LRMC) embeddings. LRMC maps raw executable byte streams into two-dimensional images and processes them through a Vision Transformer (ViT) backbone trained with a multi-task margin-contrastive objective. Rather than imposing global thresholds, LRMC dynamically learns a class-specific prototype and an adaptive hyperspherical acceptance radius for every known malware family. Samples falling outside all family radii are formally flagged as zero-day threats. We evaluate LRMC across 115 comprehensive experimental runs on two standardized benchmarks: the Malimg image benchmark (25 families) and the 184 GB Microsoft BIG 2015 challenge. Under a strict leave-k-families-out protocol, LRMC achieves a peak AUROC of 0.996 and an Ultra Detection Rate (UDR) of 0.998 on Malimg, while reaching 98.6% closed-set accuracy and 0.902 AUROC on BIG 2015. We benchmark against eight detection paradigms—including Softmax MSP, Energy, OpenMax, Deep SVDD, k-NN, One-Class SVM, and Mahalanobis distance—and provide exhaustive ablation sweeps across backbones, projection dimensions, and openness factors.</w:t>
      </w:r>
    </w:p>
    <w:p>
      <w:pPr>
        <w:spacing w:after="280"/>
      </w:pPr>
      <w:r>
        <w:rPr>
          <w:rFonts w:ascii="Times New Roman" w:hAnsi="Times New Roman"/>
          <w:b/>
          <w:i/>
          <w:sz w:val="18"/>
        </w:rPr>
        <w:t>Index Terms—</w:t>
      </w:r>
      <w:r>
        <w:rPr>
          <w:rFonts w:ascii="Times New Roman" w:hAnsi="Times New Roman"/>
          <w:i/>
          <w:sz w:val="18"/>
        </w:rPr>
        <w:t>Zero-Day Malware Detection, Open-Set Recognition, Supervised Contrastive Learning, Vision Transformer, Learnable Radii, One-Class Modeling, Binary Visualization.</w:t>
      </w:r>
    </w:p>
    <w:p>
      <w:pPr>
        <w:keepNext/>
        <w:spacing w:before="280" w:after="80"/>
      </w:pPr>
      <w:r>
        <w:rPr>
          <w:rFonts w:ascii="Times New Roman" w:hAnsi="Times New Roman"/>
          <w:b/>
          <w:color w:val="002060"/>
          <w:sz w:val="22"/>
        </w:rPr>
        <w:t>I. INTRODUCTION</w:t>
      </w:r>
    </w:p>
    <w:p>
      <w:pPr>
        <w:spacing w:before="0" w:after="100" w:line="276" w:lineRule="auto"/>
      </w:pPr>
      <w:r>
        <w:rPr>
          <w:rFonts w:ascii="Times New Roman" w:hAnsi="Times New Roman"/>
          <w:sz w:val="20"/>
        </w:rPr>
        <w:t>The exponential expansion of software systems, cloud computing infrastructure, and cyber-physical networks has radically broadened the attack surface accessible to malicious actors. Malware remains among the most severe security challenges due to rapid polymorphism, commercial packing (e.g., UPX, Themida), and automated payload synthesis. Among malicious payloads, zero-day malware represents the most destructive threat category: code that exploits unpatched vulnerabilities or implements novel evasive execution logic prior to the availability of security vendor signatures [1].</w:t>
      </w:r>
    </w:p>
    <w:p>
      <w:pPr>
        <w:spacing w:before="0" w:after="100" w:line="276" w:lineRule="auto"/>
      </w:pPr>
      <w:r>
        <w:rPr>
          <w:rFonts w:ascii="Times New Roman" w:hAnsi="Times New Roman"/>
          <w:sz w:val="20"/>
        </w:rPr>
        <w:t>Commercial Endpoint Detection and Response (EDR) and antivirus engines rely primarily on cryptographic hashes (MD5, SHA-256), heuristic byte sequences, and rule-matching engines (e.g., YARA). While these systems achieve rapid throughput on known threats, they inherently fail when confronted with polymorphic variations or novel malware families. To counter this limitation, machine learning (ML) detectors have been deployed to learn statistical patterns from disassembled binaries, APIs, opcodes, and control-flow graphs [2]–[4]. However, the vast majority of deployed deep learning classifiers operate under a closed-set assumption: the inference engine assumes that every input sample belongs to one of the K classes observed during training. When presented with an unseen zero-day malware variant, a standard softmax classifier renormalizes logits across known classes, incorrectly classifying the foreign threat into a known family with deceptively high confidence [5].</w:t>
      </w:r>
    </w:p>
    <w:p>
      <w:pPr>
        <w:spacing w:before="0" w:after="100" w:line="276" w:lineRule="auto"/>
      </w:pPr>
      <w:r>
        <w:rPr>
          <w:rFonts w:ascii="Times New Roman" w:hAnsi="Times New Roman"/>
          <w:sz w:val="20"/>
        </w:rPr>
        <w:t>To fundamentally resolve this vulnerability, zero-day malware detection must be modeled as an Open-Set Recognition (OSR) problem [5]. An open-set detector must reliably categorize known malware families while providing an explicit mathematical rejection mechanism for anomalous samples that belong to no known family. Deep anomaly detection techniques such as Support Vector Data Description (SVDD) [6] and Deep SVDD [7] construct hyperspherical boundaries; however, learning a single global boundary around all malware classes fails to capture complex multi-modal family distributions, frequently causing geometric boundary collapse.</w:t>
      </w:r>
    </w:p>
    <w:p>
      <w:pPr>
        <w:spacing w:before="0" w:after="100" w:line="276" w:lineRule="auto"/>
      </w:pPr>
      <w:r>
        <w:rPr>
          <w:rFonts w:ascii="Times New Roman" w:hAnsi="Times New Roman"/>
          <w:sz w:val="20"/>
        </w:rPr>
        <w:t>In this work, we propose Learnable-Radius Metric-Contrastive (LRMC) embeddings. We convert raw executable binaries into grayscale images, allowing a Vision Transformer (ViT) [8] backbone to extract global structural texture representations without requiring perilous code execution. The backbone is trained with a multi-task margin-contrastive loss that projects known family samples into compact clusters on a unit hypersphere while pushing dissimilar families apart. Crucially, LRMC attaches an individual, learnable center prototype and a learnable acceptance radius to each known family. Intra-family margin losses pull samples inside their respective sphere, inter-family margin losses push non-family samples outside, and a volume regularization term prevents radii from expanding excessively. During inference, inputs falling outside all hyperspheres are formally rejected as zero-day malware.</w:t>
      </w:r>
    </w:p>
    <w:p>
      <w:pPr>
        <w:spacing w:before="0" w:after="100" w:line="276" w:lineRule="auto"/>
      </w:pPr>
      <w:r>
        <w:rPr>
          <w:rFonts w:ascii="Times New Roman" w:hAnsi="Times New Roman"/>
          <w:sz w:val="20"/>
        </w:rPr>
        <w:t>Our key contributions are summarized as follows:</w:t>
        <w:br/>
        <w:t>• Formulation of Zero-Day Detection as an Open-Set Metric Task: We eliminate arbitrary global thresholds by introducing class-specific learnable radii that dynamically capture intra-family dispersion.</w:t>
        <w:br/>
        <w:t>• Vision Transformer Backbone for Binary Images: We demonstrate that self-attention over byte-level visual patches captures non-local executable relationships (e.g., imports vs. payload sections) far superior to standard CNNs.</w:t>
        <w:br/>
        <w:t>• Rigorous 115-Run Empirical Campaign: We evaluate LRMC across 115 real experimental runs on both the Malimg benchmark (25 classes) and the massive 184 GB Microsoft BIG 2015 dataset under strict leave-k-families-out protocols.</w:t>
        <w:br/>
        <w:t>• State-of-the-Art Detection &amp; Transparent Negative Result Reporting: LRMC achieves 0.996 peak AUROC and 0.998 Ultra Detection Rate on Malimg, and 98.6% closed-set accuracy on BIG 2015. We benchmark against eight paradigms and honestly analyze distance metric dynamics.</w:t>
      </w:r>
    </w:p>
    <w:p>
      <w:pPr>
        <w:keepNext/>
        <w:spacing w:before="280" w:after="80"/>
      </w:pPr>
      <w:r>
        <w:rPr>
          <w:rFonts w:ascii="Times New Roman" w:hAnsi="Times New Roman"/>
          <w:b/>
          <w:color w:val="002060"/>
          <w:sz w:val="22"/>
        </w:rPr>
        <w:t>II. RELATED WORK</w:t>
      </w:r>
    </w:p>
    <w:p>
      <w:pPr>
        <w:keepNext/>
        <w:spacing w:before="200" w:after="60"/>
      </w:pPr>
      <w:r>
        <w:rPr>
          <w:rFonts w:ascii="Times New Roman" w:hAnsi="Times New Roman"/>
          <w:b/>
          <w:i/>
          <w:color w:val="1F497D"/>
          <w:sz w:val="20"/>
        </w:rPr>
        <w:t>A. Static Malware Analysis and Binary Visualization</w:t>
      </w:r>
    </w:p>
    <w:p>
      <w:pPr>
        <w:spacing w:before="0" w:after="100" w:line="276" w:lineRule="auto"/>
      </w:pPr>
      <w:r>
        <w:rPr>
          <w:rFonts w:ascii="Times New Roman" w:hAnsi="Times New Roman"/>
          <w:sz w:val="20"/>
        </w:rPr>
        <w:t>Static analysis parses binaries without execution, inspecting headers, imports, opcodes, and byte distributions [9]. Nataraj et al. [10] pioneered malware visualization by converting raw byte values (0–255) into uncompressed grayscale image matrices. They observed that different sections of portable executable (PE) files—such as .text code, .data variables, resource directories, and packed/encrypted payloads—manifest as distinct visual textures. Kalash et al. [11] extended this paradigm using deep Convolutional Neural Networks (CNNs), demonstrating strong family classification accuracy on Malimg. Bhodia et al. [12] evaluated transfer learning on malware images using ImageNet pretrained weights. However, existing image-based literature almost universally evaluated closed-set accuracy, leaving models entirely vulnerable to zero-day evasion.</w:t>
      </w:r>
    </w:p>
    <w:p>
      <w:pPr>
        <w:keepNext/>
        <w:spacing w:before="200" w:after="60"/>
      </w:pPr>
      <w:r>
        <w:rPr>
          <w:rFonts w:ascii="Times New Roman" w:hAnsi="Times New Roman"/>
          <w:b/>
          <w:i/>
          <w:color w:val="1F497D"/>
          <w:sz w:val="20"/>
        </w:rPr>
        <w:t>B. Metric Learning and Supervised Contrastive Learning</w:t>
      </w:r>
    </w:p>
    <w:p>
      <w:pPr>
        <w:spacing w:before="0" w:after="100" w:line="276" w:lineRule="auto"/>
      </w:pPr>
      <w:r>
        <w:rPr>
          <w:rFonts w:ascii="Times New Roman" w:hAnsi="Times New Roman"/>
          <w:sz w:val="20"/>
        </w:rPr>
        <w:t>Metric learning constructs an embedding manifold where geometric distance reflects semantic similarity. Hadsell et al. [13] formulated contrastive loss for invariant representations. Schroff et al. [14] introduced FaceNet using triplet loss to map facial identities onto a hypersphere. Khosla et al. [15] generalized contrastive learning to multi-class settings via Supervised Contrastive Loss (SupCon), which contrasts multiple positive pairs against all negative samples in a batch. Unlike cross-entropy, SupCon shapes the global geometry of the latent manifold, creating tightly clustered class clusters suitable for distance-based rejection.</w:t>
      </w:r>
    </w:p>
    <w:p>
      <w:pPr>
        <w:keepNext/>
        <w:spacing w:before="200" w:after="60"/>
      </w:pPr>
      <w:r>
        <w:rPr>
          <w:rFonts w:ascii="Times New Roman" w:hAnsi="Times New Roman"/>
          <w:b/>
          <w:i/>
          <w:color w:val="1F497D"/>
          <w:sz w:val="20"/>
        </w:rPr>
        <w:t>C. Open-Set Recognition and Boundary Estimation</w:t>
      </w:r>
    </w:p>
    <w:p>
      <w:pPr>
        <w:spacing w:before="0" w:after="100" w:line="276" w:lineRule="auto"/>
      </w:pPr>
      <w:r>
        <w:rPr>
          <w:rFonts w:ascii="Times New Roman" w:hAnsi="Times New Roman"/>
          <w:sz w:val="20"/>
        </w:rPr>
        <w:t>Open-Set Recognition addresses test-time encounters with unseen categories. Bendale and Boult [5] introduced OpenMax, which fits Weibull distributions to deep network activation vectors to calibrate unknown probabilities. Support Vector Data Description (SVDD) [6] and Deep SVDD [7] calculate minimum-volume hyperspheres to encompass nominal data. In malware research, Nizami et al. [16] explored hybrid contrastive behavioral analysis, while Carter et al. [17] and Wilkie et al. [18] applied contrastive embeddings to network traces. Nevertheless, the simultaneous optimization of Vision Transformers with parametric, class-adaptive learnable rejection boundaries remains unexplored for binary-level malware detection.</w:t>
      </w:r>
    </w:p>
    <w:p>
      <w:pPr>
        <w:keepNext/>
        <w:spacing w:before="280" w:after="80"/>
      </w:pPr>
      <w:r>
        <w:rPr>
          <w:rFonts w:ascii="Times New Roman" w:hAnsi="Times New Roman"/>
          <w:b/>
          <w:color w:val="002060"/>
          <w:sz w:val="22"/>
        </w:rPr>
        <w:t>III. PROPOSED METHODOLOGY: LRMC</w:t>
      </w:r>
    </w:p>
    <w:p>
      <w:pPr>
        <w:spacing w:before="0" w:after="100" w:line="276" w:lineRule="auto"/>
      </w:pPr>
      <w:r>
        <w:rPr>
          <w:rFonts w:ascii="Times New Roman" w:hAnsi="Times New Roman"/>
          <w:sz w:val="20"/>
        </w:rPr>
        <w:t>The overall LRMC framework operates across two distinct pipelines: Training (Fig. 1) and Frozen Inference (Fig. 2). The training pipeline optimizes the Vision Transformer backbone alongside class prototypes and rejection radii, while the inference pipeline computes normalized distances against learned boundaries to execute zero-day rejection.</w:t>
      </w:r>
    </w:p>
    <w:p>
      <w:pPr>
        <w:spacing w:before="160" w:after="40"/>
        <w:jc w:val="center"/>
      </w:pPr>
      <w:r>
        <w:drawing>
          <wp:inline xmlns:a="http://schemas.openxmlformats.org/drawingml/2006/main" xmlns:pic="http://schemas.openxmlformats.org/drawingml/2006/picture">
            <wp:extent cx="5029200" cy="1023083"/>
            <wp:docPr id="1" name="Picture 1"/>
            <wp:cNvGraphicFramePr>
              <a:graphicFrameLocks noChangeAspect="1"/>
            </wp:cNvGraphicFramePr>
            <a:graphic>
              <a:graphicData uri="http://schemas.openxmlformats.org/drawingml/2006/picture">
                <pic:pic>
                  <pic:nvPicPr>
                    <pic:cNvPr id="0" name="methodology.jpeg"/>
                    <pic:cNvPicPr/>
                  </pic:nvPicPr>
                  <pic:blipFill>
                    <a:blip r:embed="rId9"/>
                    <a:stretch>
                      <a:fillRect/>
                    </a:stretch>
                  </pic:blipFill>
                  <pic:spPr>
                    <a:xfrm>
                      <a:off x="0" y="0"/>
                      <a:ext cx="5029200" cy="1023083"/>
                    </a:xfrm>
                    <a:prstGeom prst="rect"/>
                  </pic:spPr>
                </pic:pic>
              </a:graphicData>
            </a:graphic>
          </wp:inline>
        </w:drawing>
      </w:r>
    </w:p>
    <w:p>
      <w:pPr>
        <w:keepNext/>
        <w:spacing w:before="40" w:after="200"/>
        <w:jc w:val="center"/>
      </w:pPr>
      <w:r>
        <w:rPr>
          <w:rFonts w:ascii="Times New Roman" w:hAnsi="Times New Roman"/>
          <w:i/>
          <w:sz w:val="18"/>
        </w:rPr>
        <w:t>Fig. 1. Architectural overview of the LRMC Training Pipeline: Data Ingestion (byte-to-image conversion) → Vision Transformer Backbone → L2 Normalized Projection Head → LRMC Multi-Task Loss Module.</w:t>
      </w:r>
    </w:p>
    <w:p>
      <w:pPr>
        <w:keepNext/>
        <w:spacing w:before="200" w:after="60"/>
      </w:pPr>
      <w:r>
        <w:rPr>
          <w:rFonts w:ascii="Times New Roman" w:hAnsi="Times New Roman"/>
          <w:b/>
          <w:i/>
          <w:color w:val="1F497D"/>
          <w:sz w:val="20"/>
        </w:rPr>
        <w:t>A. Data Ingestion: Binary-to-Image Generation</w:t>
      </w:r>
    </w:p>
    <w:p>
      <w:pPr>
        <w:spacing w:before="0" w:after="100" w:line="276" w:lineRule="auto"/>
      </w:pPr>
      <w:r>
        <w:rPr>
          <w:rFonts w:ascii="Times New Roman" w:hAnsi="Times New Roman"/>
          <w:sz w:val="20"/>
        </w:rPr>
        <w:t>For Microsoft BIG 2015, raw byte files are read sequentially, stripping PE headers to avoid trivial checksum leakage. Byte integers b_i in [0, 255] are mapped directly to pixel luminance values. The 1D stream is reshaped into a fixed 2D width matrix (width chosen according to binary size as specified by Nataraj et al. [10]), resized to 224 x 224 via bilinear interpolation, and normalized to zero mean and unit variance. For Malimg, pre-rendered grayscale images are standardized and augmented with random resized cropping, horizontal flipping, mild Gaussian perturbation, and random erasing. Photometric color jittering is omitted as it has no physical interpretation on executable binaries.</w:t>
      </w:r>
    </w:p>
    <w:p>
      <w:pPr>
        <w:keepNext/>
        <w:spacing w:before="200" w:after="60"/>
      </w:pPr>
      <w:r>
        <w:rPr>
          <w:rFonts w:ascii="Times New Roman" w:hAnsi="Times New Roman"/>
          <w:b/>
          <w:i/>
          <w:color w:val="1F497D"/>
          <w:sz w:val="20"/>
        </w:rPr>
        <w:t>B. Vision Transformer Feature Extraction Backbone</w:t>
      </w:r>
    </w:p>
    <w:p>
      <w:pPr>
        <w:spacing w:before="0" w:after="100" w:line="276" w:lineRule="auto"/>
      </w:pPr>
      <w:r>
        <w:rPr>
          <w:rFonts w:ascii="Times New Roman" w:hAnsi="Times New Roman"/>
          <w:sz w:val="20"/>
        </w:rPr>
        <w:t>Standard CNNs suffer from restricted receptive fields, making it difficult to capture interactions between distant binary sections (e.g., an export table near offset 0x400 pointing to shellcode at offset 0xF8000). We employ a Vision Transformer (ViT-tiny/16) [8]. The 224 x 224 x 1 image is partitioned into non-overlapping 16 x 16 patches, yielding N = (224/16)^2 = 196 patch tokens. A learnable linear projection maps each patch into dimension D = 192. A learnable [CLS] token is prepended, and 1D learnable positional embeddings are added. Twelve Transformer encoder blocks process the sequence via Multi-Head Self-Attention (MHSA). The pooled [CLS] representation h in R^192 is projected through a 2-layer MLP head (192 -&gt; 512 -&gt; 128) with GELU activations to yield z_tilde, followed by L2 hypersphere normalization:</w:t>
      </w:r>
    </w:p>
    <w:p>
      <w:pPr>
        <w:spacing w:before="0" w:after="100" w:line="276" w:lineRule="auto"/>
      </w:pPr>
      <w:r>
        <w:rPr>
          <w:rFonts w:ascii="Times New Roman" w:hAnsi="Times New Roman"/>
          <w:sz w:val="20"/>
        </w:rPr>
        <w:t xml:space="preserve">    z = z_tilde / ||z_tilde||_2 in S^127</w:t>
        <w:br/>
        <w:t>All geometric distances in the latent space are computed via cosine distance: d(u, v) = 1 - u^T v.</w:t>
      </w:r>
    </w:p>
    <w:p>
      <w:pPr>
        <w:keepNext/>
        <w:spacing w:before="200" w:after="60"/>
      </w:pPr>
      <w:r>
        <w:rPr>
          <w:rFonts w:ascii="Times New Roman" w:hAnsi="Times New Roman"/>
          <w:b/>
          <w:i/>
          <w:color w:val="1F497D"/>
          <w:sz w:val="20"/>
        </w:rPr>
        <w:t>C. LRMC Loss Formulation and Learnable Radii Dynamics</w:t>
      </w:r>
    </w:p>
    <w:p>
      <w:pPr>
        <w:spacing w:before="0" w:after="100" w:line="276" w:lineRule="auto"/>
      </w:pPr>
      <w:r>
        <w:rPr>
          <w:rFonts w:ascii="Times New Roman" w:hAnsi="Times New Roman"/>
          <w:sz w:val="20"/>
        </w:rPr>
        <w:t>For each known class c in {1, ..., K}, we define a class prototype mu_c in S^127 and a strictly positive learnable radius r_c &gt; 0. Prototypes are updated via Exponential Moving Average (EMA) with momentum m = 0.9:</w:t>
        <w:br/>
        <w:t xml:space="preserve">    mu_c &lt;- Normalize(m * mu_c + (1 - m) * (1/|B_c|) * sum_{i in B_c} z_i)</w:t>
        <w:br/>
        <w:t>The complete LRMC training objective comprises three complementary loss components:</w:t>
      </w:r>
    </w:p>
    <w:p>
      <w:pPr>
        <w:spacing w:before="0" w:after="100" w:line="276" w:lineRule="auto"/>
      </w:pPr>
      <w:r>
        <w:rPr>
          <w:rFonts w:ascii="Times New Roman" w:hAnsi="Times New Roman"/>
          <w:sz w:val="20"/>
        </w:rPr>
        <w:t>1) In-Family Attraction Loss (L_in): Encourages sample embeddings z_i of class c to lie strictly inside the class hypersphere r_c with margin m_in:</w:t>
        <w:br/>
        <w:t xml:space="preserve">    L_in = (1 / |B|) * sum_{i in B} max(0, d(z_i, mu_{y_i}) - (r_{y_i} - m_in))</w:t>
        <w:br/>
        <w:br/>
        <w:t>2) Out-of-Family Repulsion Loss (L_out): Forces embeddings z_i to maintain a distance greater than r_j from all foreign prototypes j != y_i:</w:t>
        <w:br/>
        <w:t xml:space="preserve">    L_out = (1 / |B|) * sum_{i in B} sum_{j != y_i} max(0, (r_j + m_out) - d(z_i, mu_j))</w:t>
        <w:br/>
        <w:br/>
        <w:t>3) Radius Volume Penalty (L_rad): Penalizes hypersphere volume to prevent radii from growing arbitrarily large and absorbing unknown space:</w:t>
        <w:br/>
        <w:t xml:space="preserve">    L_rad = (1 / K) * sum_{c=1}^K r_c^2</w:t>
        <w:br/>
        <w:br/>
        <w:t>The composite loss optimized via AdamW is:</w:t>
        <w:br/>
        <w:t xml:space="preserve">    L_total = L_in + beta * L_out + gamma * L_rad</w:t>
        <w:br/>
        <w:t>where beta = 1.0, gamma = 0.1, and m_in = m_out = 0.1.</w:t>
      </w:r>
    </w:p>
    <w:p>
      <w:pPr>
        <w:spacing w:before="160" w:after="40"/>
        <w:jc w:val="center"/>
      </w:pPr>
      <w:r>
        <w:drawing>
          <wp:inline xmlns:a="http://schemas.openxmlformats.org/drawingml/2006/main" xmlns:pic="http://schemas.openxmlformats.org/drawingml/2006/picture">
            <wp:extent cx="5029200" cy="1471400"/>
            <wp:docPr id="2" name="Picture 2"/>
            <wp:cNvGraphicFramePr>
              <a:graphicFrameLocks noChangeAspect="1"/>
            </wp:cNvGraphicFramePr>
            <a:graphic>
              <a:graphicData uri="http://schemas.openxmlformats.org/drawingml/2006/picture">
                <pic:pic>
                  <pic:nvPicPr>
                    <pic:cNvPr id="0" name="inference diagram.jpeg"/>
                    <pic:cNvPicPr/>
                  </pic:nvPicPr>
                  <pic:blipFill>
                    <a:blip r:embed="rId10"/>
                    <a:stretch>
                      <a:fillRect/>
                    </a:stretch>
                  </pic:blipFill>
                  <pic:spPr>
                    <a:xfrm>
                      <a:off x="0" y="0"/>
                      <a:ext cx="5029200" cy="1471400"/>
                    </a:xfrm>
                    <a:prstGeom prst="rect"/>
                  </pic:spPr>
                </pic:pic>
              </a:graphicData>
            </a:graphic>
          </wp:inline>
        </w:drawing>
      </w:r>
    </w:p>
    <w:p>
      <w:pPr>
        <w:keepNext/>
        <w:spacing w:before="40" w:after="200"/>
        <w:jc w:val="center"/>
      </w:pPr>
      <w:r>
        <w:rPr>
          <w:rFonts w:ascii="Times New Roman" w:hAnsi="Times New Roman"/>
          <w:i/>
          <w:sz w:val="18"/>
        </w:rPr>
        <w:t>Fig. 2. Architectural overview of the LRMC Inference Pipeline: Frozen Feature Extractor → Normalized Embedding → Multi-Hypersphere Distance Metric Engine → Zero-Day Unknown Rejector.</w:t>
      </w:r>
    </w:p>
    <w:p>
      <w:pPr>
        <w:keepNext/>
        <w:spacing w:before="200" w:after="60"/>
      </w:pPr>
      <w:r>
        <w:rPr>
          <w:rFonts w:ascii="Times New Roman" w:hAnsi="Times New Roman"/>
          <w:b/>
          <w:i/>
          <w:color w:val="1F497D"/>
          <w:sz w:val="20"/>
        </w:rPr>
        <w:t>D. Inference and Zero-Day Rejection Rule</w:t>
      </w:r>
    </w:p>
    <w:p>
      <w:pPr>
        <w:spacing w:before="0" w:after="100" w:line="276" w:lineRule="auto"/>
      </w:pPr>
      <w:r>
        <w:rPr>
          <w:rFonts w:ascii="Times New Roman" w:hAnsi="Times New Roman"/>
          <w:sz w:val="20"/>
        </w:rPr>
        <w:t>During deployment, the ViT backbone, projection head, prototypes {mu_c}, and radii {r_c} are completely frozen. Given test binary x, we compute its embedding z and calculate normalized distance ratios across all K known classes:</w:t>
        <w:br/>
        <w:t xml:space="preserve">    s_c(z) = d(z, mu_c) / r_c</w:t>
        <w:br/>
        <w:t>The predicted known class is c* = argmin_c s_c(z), and the rejection anomaly score is s*(z) = min_c s_c(z). A threshold kappa is calibrated on known validation data to guarantee 95% known sample acceptance (FRR &lt;= 0.05). If s*(z) &gt; kappa, the binary is classified as ZERO-DAY UNKNOWN.</w:t>
      </w:r>
    </w:p>
    <w:p>
      <w:pPr>
        <w:keepNext/>
        <w:spacing w:before="280" w:after="80"/>
      </w:pPr>
      <w:r>
        <w:rPr>
          <w:rFonts w:ascii="Times New Roman" w:hAnsi="Times New Roman"/>
          <w:b/>
          <w:color w:val="002060"/>
          <w:sz w:val="22"/>
        </w:rPr>
        <w:t>IV. EXPERIMENTAL SETUP</w:t>
      </w:r>
    </w:p>
    <w:p>
      <w:pPr>
        <w:spacing w:before="0" w:after="100" w:line="276" w:lineRule="auto"/>
      </w:pPr>
      <w:r>
        <w:rPr>
          <w:rFonts w:ascii="Times New Roman" w:hAnsi="Times New Roman"/>
          <w:sz w:val="20"/>
        </w:rPr>
        <w:t>A. Datasets and Zero-Day Evaluation Protocol:</w:t>
        <w:br/>
        <w:t>1) Malimg Benchmark: 9,339 grayscale malware images across 25 families (e.g., Allaple.A, Fakerean, Yuner.A). We employ stratified 70/15/15 splits. To simulate zero-day encounters, k families (k in {1, 2, 5, 8}) are entirely held out from training and presented only at test time.</w:t>
        <w:br/>
        <w:t>2) Microsoft BIG 2015 Benchmark: 10,868 disassembled samples totaling 184 GB across 9 major families (Ramnit, Lollipop, Kelihos, Vundo, Simda, Tracur, Kelihos_ver1, Obfuscator.ACY, Gatak). Memory-mapped caching (np.memmap) is used for high-throughput zero-copy loading.</w:t>
        <w:br/>
        <w:br/>
        <w:t>B. Hardware &amp; Implementation Details:</w:t>
        <w:br/>
        <w:t>Experiments were executed on an NVIDIA GeForce RTX 3080 Ti (12,288 MB VRAM), Intel Core i9 workstation, with PyTorch 2.4, CUDA 12.4, mixed-precision (AMP bf16), batch size 128, and four asynchronous prefetch workers. Training spans 15 epochs with warmup.</w:t>
      </w:r>
    </w:p>
    <w:p>
      <w:pPr>
        <w:spacing w:before="0" w:after="100" w:line="276" w:lineRule="auto"/>
      </w:pPr>
      <w:r>
        <w:rPr>
          <w:rFonts w:ascii="Times New Roman" w:hAnsi="Times New Roman"/>
          <w:sz w:val="20"/>
        </w:rPr>
        <w:t>C. Evaluation Metrics:</w:t>
        <w:br/>
        <w:t>• Closed-Set Accuracy &amp; Macro-F1 on known families.</w:t>
        <w:br/>
        <w:t>• Area Under the Receiver Operating Characteristic (AUROC) and Area Under Precision-Recall (AUPR) for zero-day discrimination.</w:t>
        <w:br/>
        <w:t>• False Positive Rate at 95% True Positive Rate (FPR@95TPR).</w:t>
        <w:br/>
        <w:t>• Open-Set Classification Rate (OSCR-AUC) measuring simultaneous classification and unknown rejection correctness.</w:t>
      </w:r>
    </w:p>
    <w:p>
      <w:pPr>
        <w:keepNext/>
        <w:spacing w:before="280" w:after="80"/>
      </w:pPr>
      <w:r>
        <w:rPr>
          <w:rFonts w:ascii="Times New Roman" w:hAnsi="Times New Roman"/>
          <w:b/>
          <w:color w:val="002060"/>
          <w:sz w:val="22"/>
        </w:rPr>
        <w:t>V. EXPERIMENTAL RESULTS AND COMPARATIVE ANALYSIS</w:t>
      </w:r>
    </w:p>
    <w:p>
      <w:pPr>
        <w:spacing w:before="0" w:after="100" w:line="276" w:lineRule="auto"/>
      </w:pPr>
      <w:r>
        <w:rPr>
          <w:rFonts w:ascii="Times New Roman" w:hAnsi="Times New Roman"/>
          <w:sz w:val="20"/>
        </w:rPr>
        <w:t>Table I summarizes the comparative benchmark across all nine evaluated methods on Malimg and BIG 2015, aggregated over all completed runs.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2160"/>
            <w:shd w:fill="002060"/>
            <w:tcMar>
              <w:top w:w="120" w:type="dxa"/>
              <w:bottom w:w="120" w:type="dxa"/>
              <w:left w:w="150" w:type="dxa"/>
              <w:right w:w="150" w:type="dxa"/>
            </w:tcMar>
            <w:vAlign w:val="center"/>
          </w:tcPr>
          <w:p>
            <w:pPr>
              <w:jc w:val="center"/>
            </w:pPr>
            <w:r>
              <w:rPr>
                <w:rFonts w:ascii="Times New Roman" w:hAnsi="Times New Roman"/>
                <w:b/>
                <w:color w:val="FFFFFF"/>
                <w:sz w:val="17"/>
              </w:rPr>
              <w:t>Method</w:t>
            </w:r>
          </w:p>
        </w:tc>
        <w:tc>
          <w:tcPr>
            <w:tcW w:type="dxa" w:w="1008"/>
            <w:shd w:fill="002060"/>
            <w:tcMar>
              <w:top w:w="120" w:type="dxa"/>
              <w:bottom w:w="120" w:type="dxa"/>
              <w:left w:w="150" w:type="dxa"/>
              <w:right w:w="150" w:type="dxa"/>
            </w:tcMar>
            <w:vAlign w:val="center"/>
          </w:tcPr>
          <w:p>
            <w:pPr>
              <w:jc w:val="center"/>
            </w:pPr>
            <w:r>
              <w:rPr>
                <w:rFonts w:ascii="Times New Roman" w:hAnsi="Times New Roman"/>
                <w:b/>
                <w:color w:val="FFFFFF"/>
                <w:sz w:val="17"/>
              </w:rPr>
              <w:t>Accuracy</w:t>
            </w:r>
          </w:p>
        </w:tc>
        <w:tc>
          <w:tcPr>
            <w:tcW w:type="dxa" w:w="1008"/>
            <w:shd w:fill="002060"/>
            <w:tcMar>
              <w:top w:w="120" w:type="dxa"/>
              <w:bottom w:w="120" w:type="dxa"/>
              <w:left w:w="150" w:type="dxa"/>
              <w:right w:w="150" w:type="dxa"/>
            </w:tcMar>
            <w:vAlign w:val="center"/>
          </w:tcPr>
          <w:p>
            <w:pPr>
              <w:jc w:val="center"/>
            </w:pPr>
            <w:r>
              <w:rPr>
                <w:rFonts w:ascii="Times New Roman" w:hAnsi="Times New Roman"/>
                <w:b/>
                <w:color w:val="FFFFFF"/>
                <w:sz w:val="17"/>
              </w:rPr>
              <w:t>Macro-F1</w:t>
            </w:r>
          </w:p>
        </w:tc>
        <w:tc>
          <w:tcPr>
            <w:tcW w:type="dxa" w:w="936"/>
            <w:shd w:fill="002060"/>
            <w:tcMar>
              <w:top w:w="120" w:type="dxa"/>
              <w:bottom w:w="120" w:type="dxa"/>
              <w:left w:w="150" w:type="dxa"/>
              <w:right w:w="150" w:type="dxa"/>
            </w:tcMar>
            <w:vAlign w:val="center"/>
          </w:tcPr>
          <w:p>
            <w:pPr>
              <w:jc w:val="center"/>
            </w:pPr>
            <w:r>
              <w:rPr>
                <w:rFonts w:ascii="Times New Roman" w:hAnsi="Times New Roman"/>
                <w:b/>
                <w:color w:val="FFFFFF"/>
                <w:sz w:val="17"/>
              </w:rPr>
              <w:t>AUROC</w:t>
            </w:r>
          </w:p>
        </w:tc>
        <w:tc>
          <w:tcPr>
            <w:tcW w:type="dxa" w:w="936"/>
            <w:shd w:fill="002060"/>
            <w:tcMar>
              <w:top w:w="120" w:type="dxa"/>
              <w:bottom w:w="120" w:type="dxa"/>
              <w:left w:w="150" w:type="dxa"/>
              <w:right w:w="150" w:type="dxa"/>
            </w:tcMar>
            <w:vAlign w:val="center"/>
          </w:tcPr>
          <w:p>
            <w:pPr>
              <w:jc w:val="center"/>
            </w:pPr>
            <w:r>
              <w:rPr>
                <w:rFonts w:ascii="Times New Roman" w:hAnsi="Times New Roman"/>
                <w:b/>
                <w:color w:val="FFFFFF"/>
                <w:sz w:val="17"/>
              </w:rPr>
              <w:t>AUPR</w:t>
            </w:r>
          </w:p>
        </w:tc>
        <w:tc>
          <w:tcPr>
            <w:tcW w:type="dxa" w:w="936"/>
            <w:shd w:fill="002060"/>
            <w:tcMar>
              <w:top w:w="120" w:type="dxa"/>
              <w:bottom w:w="120" w:type="dxa"/>
              <w:left w:w="150" w:type="dxa"/>
              <w:right w:w="150" w:type="dxa"/>
            </w:tcMar>
            <w:vAlign w:val="center"/>
          </w:tcPr>
          <w:p>
            <w:pPr>
              <w:jc w:val="center"/>
            </w:pPr>
            <w:r>
              <w:rPr>
                <w:rFonts w:ascii="Times New Roman" w:hAnsi="Times New Roman"/>
                <w:b/>
                <w:color w:val="FFFFFF"/>
                <w:sz w:val="17"/>
              </w:rPr>
              <w:t>FPR@95</w:t>
            </w:r>
          </w:p>
        </w:tc>
        <w:tc>
          <w:tcPr>
            <w:tcW w:type="dxa" w:w="792"/>
            <w:shd w:fill="002060"/>
            <w:tcMar>
              <w:top w:w="120" w:type="dxa"/>
              <w:bottom w:w="120" w:type="dxa"/>
              <w:left w:w="150" w:type="dxa"/>
              <w:right w:w="150" w:type="dxa"/>
            </w:tcMar>
            <w:vAlign w:val="center"/>
          </w:tcPr>
          <w:p>
            <w:pPr>
              <w:jc w:val="center"/>
            </w:pPr>
            <w:r>
              <w:rPr>
                <w:rFonts w:ascii="Times New Roman" w:hAnsi="Times New Roman"/>
                <w:b/>
                <w:color w:val="FFFFFF"/>
                <w:sz w:val="17"/>
              </w:rPr>
              <w:t>UDR</w:t>
            </w:r>
          </w:p>
        </w:tc>
        <w:tc>
          <w:tcPr>
            <w:tcW w:type="dxa" w:w="1008"/>
            <w:shd w:fill="002060"/>
            <w:tcMar>
              <w:top w:w="120" w:type="dxa"/>
              <w:bottom w:w="120" w:type="dxa"/>
              <w:left w:w="150" w:type="dxa"/>
              <w:right w:w="150" w:type="dxa"/>
            </w:tcMar>
            <w:vAlign w:val="center"/>
          </w:tcPr>
          <w:p>
            <w:pPr>
              <w:jc w:val="center"/>
            </w:pPr>
            <w:r>
              <w:rPr>
                <w:rFonts w:ascii="Times New Roman" w:hAnsi="Times New Roman"/>
                <w:b/>
                <w:color w:val="FFFFFF"/>
                <w:sz w:val="17"/>
              </w:rPr>
              <w:t>OSCR-AUC</w:t>
            </w:r>
          </w:p>
        </w:tc>
      </w:tr>
      <w:tr>
        <w:tc>
          <w:tcPr>
            <w:tcW w:type="dxa" w:w="2160"/>
            <w:shd w:fill="FFFFFF"/>
            <w:tcMar>
              <w:top w:w="80" w:type="dxa"/>
              <w:bottom w:w="80" w:type="dxa"/>
              <w:left w:w="120" w:type="dxa"/>
              <w:right w:w="120" w:type="dxa"/>
            </w:tcMar>
            <w:vAlign w:val="center"/>
          </w:tcPr>
          <w:p>
            <w:pPr>
              <w:spacing w:before="0" w:after="0"/>
            </w:pPr>
            <w:r>
              <w:rPr>
                <w:rFonts w:ascii="Times New Roman" w:hAnsi="Times New Roman"/>
                <w:sz w:val="17"/>
              </w:rPr>
              <w:t>Softmax MSP [5]</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0.133 ± 0.099</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0.020 ± 0.030</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0.494 ± 0.227</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0.400 ± 0.178</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0.879 ± 0.203</w:t>
            </w:r>
          </w:p>
        </w:tc>
        <w:tc>
          <w:tcPr>
            <w:tcW w:type="dxa" w:w="792"/>
            <w:shd w:fill="FFFFFF"/>
            <w:tcMar>
              <w:top w:w="80" w:type="dxa"/>
              <w:bottom w:w="80" w:type="dxa"/>
              <w:left w:w="120" w:type="dxa"/>
              <w:right w:w="120" w:type="dxa"/>
            </w:tcMar>
            <w:vAlign w:val="center"/>
          </w:tcPr>
          <w:p>
            <w:pPr>
              <w:spacing w:before="0" w:after="0"/>
            </w:pPr>
            <w:r>
              <w:rPr>
                <w:rFonts w:ascii="Times New Roman" w:hAnsi="Times New Roman"/>
                <w:sz w:val="17"/>
              </w:rPr>
              <w:t>0.130</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0.078 ± 0.091</w:t>
            </w:r>
          </w:p>
        </w:tc>
      </w:tr>
      <w:tr>
        <w:tc>
          <w:tcPr>
            <w:tcW w:type="dxa" w:w="2160"/>
            <w:shd w:fill="F2F5F9"/>
            <w:tcMar>
              <w:top w:w="80" w:type="dxa"/>
              <w:bottom w:w="80" w:type="dxa"/>
              <w:left w:w="120" w:type="dxa"/>
              <w:right w:w="120" w:type="dxa"/>
            </w:tcMar>
            <w:vAlign w:val="center"/>
          </w:tcPr>
          <w:p>
            <w:pPr>
              <w:spacing w:before="0" w:after="0"/>
            </w:pPr>
            <w:r>
              <w:rPr>
                <w:rFonts w:ascii="Times New Roman" w:hAnsi="Times New Roman"/>
                <w:sz w:val="17"/>
              </w:rPr>
              <w:t>Energy Score [19]</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0.096 ± 0.002</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0.009 ± 0.001</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0.504 ± 0.231</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0.363 ± 0.102</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0.849 ± 0.339</w:t>
            </w:r>
          </w:p>
        </w:tc>
        <w:tc>
          <w:tcPr>
            <w:tcW w:type="dxa" w:w="792"/>
            <w:shd w:fill="F2F5F9"/>
            <w:tcMar>
              <w:top w:w="80" w:type="dxa"/>
              <w:bottom w:w="80" w:type="dxa"/>
              <w:left w:w="120" w:type="dxa"/>
              <w:right w:w="120" w:type="dxa"/>
            </w:tcMar>
            <w:vAlign w:val="center"/>
          </w:tcPr>
          <w:p>
            <w:pPr>
              <w:spacing w:before="0" w:after="0"/>
            </w:pPr>
            <w:r>
              <w:rPr>
                <w:rFonts w:ascii="Times New Roman" w:hAnsi="Times New Roman"/>
                <w:sz w:val="17"/>
              </w:rPr>
              <w:t>0.106</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0.059 ± 0.028</w:t>
            </w:r>
          </w:p>
        </w:tc>
      </w:tr>
      <w:tr>
        <w:tc>
          <w:tcPr>
            <w:tcW w:type="dxa" w:w="2160"/>
            <w:shd w:fill="FFFFFF"/>
            <w:tcMar>
              <w:top w:w="80" w:type="dxa"/>
              <w:bottom w:w="80" w:type="dxa"/>
              <w:left w:w="120" w:type="dxa"/>
              <w:right w:w="120" w:type="dxa"/>
            </w:tcMar>
            <w:vAlign w:val="center"/>
          </w:tcPr>
          <w:p>
            <w:pPr>
              <w:spacing w:before="0" w:after="0"/>
            </w:pPr>
            <w:r>
              <w:rPr>
                <w:rFonts w:ascii="Times New Roman" w:hAnsi="Times New Roman"/>
                <w:sz w:val="17"/>
              </w:rPr>
              <w:t>OpenMax [5]</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0.096 ± 0.002</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0.009 ± 0.001</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0.548 ± 0.292</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0.474 ± 0.267</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0.760 ± 0.332</w:t>
            </w:r>
          </w:p>
        </w:tc>
        <w:tc>
          <w:tcPr>
            <w:tcW w:type="dxa" w:w="792"/>
            <w:shd w:fill="FFFFFF"/>
            <w:tcMar>
              <w:top w:w="80" w:type="dxa"/>
              <w:bottom w:w="80" w:type="dxa"/>
              <w:left w:w="120" w:type="dxa"/>
              <w:right w:w="120" w:type="dxa"/>
            </w:tcMar>
            <w:vAlign w:val="center"/>
          </w:tcPr>
          <w:p>
            <w:pPr>
              <w:spacing w:before="0" w:after="0"/>
            </w:pPr>
            <w:r>
              <w:rPr>
                <w:rFonts w:ascii="Times New Roman" w:hAnsi="Times New Roman"/>
                <w:sz w:val="17"/>
              </w:rPr>
              <w:t>0.292</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0.047 ± 0.032</w:t>
            </w:r>
          </w:p>
        </w:tc>
      </w:tr>
      <w:tr>
        <w:tc>
          <w:tcPr>
            <w:tcW w:type="dxa" w:w="2160"/>
            <w:shd w:fill="F2F5F9"/>
            <w:tcMar>
              <w:top w:w="80" w:type="dxa"/>
              <w:bottom w:w="80" w:type="dxa"/>
              <w:left w:w="120" w:type="dxa"/>
              <w:right w:w="120" w:type="dxa"/>
            </w:tcMar>
            <w:vAlign w:val="center"/>
          </w:tcPr>
          <w:p>
            <w:pPr>
              <w:spacing w:before="0" w:after="0"/>
            </w:pPr>
            <w:r>
              <w:rPr>
                <w:rFonts w:ascii="Times New Roman" w:hAnsi="Times New Roman"/>
                <w:sz w:val="17"/>
              </w:rPr>
              <w:t>Deep SVDD [7]</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0.912 ± 0.044</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0.879 ± 0.051</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0.602 ± 0.181</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0.463 ± 0.171</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0.851 ± 0.065</w:t>
            </w:r>
          </w:p>
        </w:tc>
        <w:tc>
          <w:tcPr>
            <w:tcW w:type="dxa" w:w="792"/>
            <w:shd w:fill="F2F5F9"/>
            <w:tcMar>
              <w:top w:w="80" w:type="dxa"/>
              <w:bottom w:w="80" w:type="dxa"/>
              <w:left w:w="120" w:type="dxa"/>
              <w:right w:w="120" w:type="dxa"/>
            </w:tcMar>
            <w:vAlign w:val="center"/>
          </w:tcPr>
          <w:p>
            <w:pPr>
              <w:spacing w:before="0" w:after="0"/>
            </w:pPr>
            <w:r>
              <w:rPr>
                <w:rFonts w:ascii="Times New Roman" w:hAnsi="Times New Roman"/>
                <w:sz w:val="17"/>
              </w:rPr>
              <w:t>0.155</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0.542 ± 0.154</w:t>
            </w:r>
          </w:p>
        </w:tc>
      </w:tr>
      <w:tr>
        <w:tc>
          <w:tcPr>
            <w:tcW w:type="dxa" w:w="2160"/>
            <w:shd w:fill="FFFFFF"/>
            <w:tcMar>
              <w:top w:w="80" w:type="dxa"/>
              <w:bottom w:w="80" w:type="dxa"/>
              <w:left w:w="120" w:type="dxa"/>
              <w:right w:w="120" w:type="dxa"/>
            </w:tcMar>
            <w:vAlign w:val="center"/>
          </w:tcPr>
          <w:p>
            <w:pPr>
              <w:spacing w:before="0" w:after="0"/>
            </w:pPr>
            <w:r>
              <w:rPr>
                <w:rFonts w:ascii="Times New Roman" w:hAnsi="Times New Roman"/>
                <w:sz w:val="17"/>
              </w:rPr>
              <w:t>One-Class SVM [20]</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0.995 ± 0.003</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0.986 ± 0.010</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0.653 ± 0.167</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0.683 ± 0.151</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0.937 ± 0.105</w:t>
            </w:r>
          </w:p>
        </w:tc>
        <w:tc>
          <w:tcPr>
            <w:tcW w:type="dxa" w:w="792"/>
            <w:shd w:fill="FFFFFF"/>
            <w:tcMar>
              <w:top w:w="80" w:type="dxa"/>
              <w:bottom w:w="80" w:type="dxa"/>
              <w:left w:w="120" w:type="dxa"/>
              <w:right w:w="120" w:type="dxa"/>
            </w:tcMar>
            <w:vAlign w:val="center"/>
          </w:tcPr>
          <w:p>
            <w:pPr>
              <w:spacing w:before="0" w:after="0"/>
            </w:pPr>
            <w:r>
              <w:rPr>
                <w:rFonts w:ascii="Times New Roman" w:hAnsi="Times New Roman"/>
                <w:sz w:val="17"/>
              </w:rPr>
              <w:t>0.560</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0.650 ± 0.167</w:t>
            </w:r>
          </w:p>
        </w:tc>
      </w:tr>
      <w:tr>
        <w:tc>
          <w:tcPr>
            <w:tcW w:type="dxa" w:w="2160"/>
            <w:shd w:fill="F2F5F9"/>
            <w:tcMar>
              <w:top w:w="80" w:type="dxa"/>
              <w:bottom w:w="80" w:type="dxa"/>
              <w:left w:w="120" w:type="dxa"/>
              <w:right w:w="120" w:type="dxa"/>
            </w:tcMar>
            <w:vAlign w:val="center"/>
          </w:tcPr>
          <w:p>
            <w:pPr>
              <w:spacing w:before="0" w:after="0"/>
            </w:pPr>
            <w:r>
              <w:rPr>
                <w:rFonts w:ascii="Times New Roman" w:hAnsi="Times New Roman"/>
                <w:sz w:val="17"/>
              </w:rPr>
              <w:t>Fixed-Radius Proto</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0.992 ± 0.005</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0.976 ± 0.020</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0.963 ± 0.030</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0.945 ± 0.032</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0.212 ± 0.170</w:t>
            </w:r>
          </w:p>
        </w:tc>
        <w:tc>
          <w:tcPr>
            <w:tcW w:type="dxa" w:w="792"/>
            <w:shd w:fill="F2F5F9"/>
            <w:tcMar>
              <w:top w:w="80" w:type="dxa"/>
              <w:bottom w:w="80" w:type="dxa"/>
              <w:left w:w="120" w:type="dxa"/>
              <w:right w:w="120" w:type="dxa"/>
            </w:tcMar>
            <w:vAlign w:val="center"/>
          </w:tcPr>
          <w:p>
            <w:pPr>
              <w:spacing w:before="0" w:after="0"/>
            </w:pPr>
            <w:r>
              <w:rPr>
                <w:rFonts w:ascii="Times New Roman" w:hAnsi="Times New Roman"/>
                <w:sz w:val="17"/>
              </w:rPr>
              <w:t>0.869</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0.959 ± 0.029</w:t>
            </w:r>
          </w:p>
        </w:tc>
      </w:tr>
      <w:tr>
        <w:tc>
          <w:tcPr>
            <w:tcW w:type="dxa" w:w="2160"/>
            <w:shd w:fill="FFFFFF"/>
            <w:tcMar>
              <w:top w:w="80" w:type="dxa"/>
              <w:bottom w:w="80" w:type="dxa"/>
              <w:left w:w="120" w:type="dxa"/>
              <w:right w:w="120" w:type="dxa"/>
            </w:tcMar>
            <w:vAlign w:val="center"/>
          </w:tcPr>
          <w:p>
            <w:pPr>
              <w:spacing w:before="0" w:after="0"/>
            </w:pPr>
            <w:r>
              <w:rPr>
                <w:rFonts w:ascii="Times New Roman" w:hAnsi="Times New Roman"/>
                <w:sz w:val="17"/>
              </w:rPr>
              <w:t>Prototype Cosine</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0.995 ± 0.003</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0.986 ± 0.010</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0.976 ± 0.029</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0.961 ± 0.032</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0.140 ± 0.185</w:t>
            </w:r>
          </w:p>
        </w:tc>
        <w:tc>
          <w:tcPr>
            <w:tcW w:type="dxa" w:w="792"/>
            <w:shd w:fill="FFFFFF"/>
            <w:tcMar>
              <w:top w:w="80" w:type="dxa"/>
              <w:bottom w:w="80" w:type="dxa"/>
              <w:left w:w="120" w:type="dxa"/>
              <w:right w:w="120" w:type="dxa"/>
            </w:tcMar>
            <w:vAlign w:val="center"/>
          </w:tcPr>
          <w:p>
            <w:pPr>
              <w:spacing w:before="0" w:after="0"/>
            </w:pPr>
            <w:r>
              <w:rPr>
                <w:rFonts w:ascii="Times New Roman" w:hAnsi="Times New Roman"/>
                <w:sz w:val="17"/>
              </w:rPr>
              <w:t>0.910</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0.973 ± 0.027</w:t>
            </w:r>
          </w:p>
        </w:tc>
      </w:tr>
      <w:tr>
        <w:tc>
          <w:tcPr>
            <w:tcW w:type="dxa" w:w="2160"/>
            <w:shd w:fill="F2F5F9"/>
            <w:tcMar>
              <w:top w:w="80" w:type="dxa"/>
              <w:bottom w:w="80" w:type="dxa"/>
              <w:left w:w="120" w:type="dxa"/>
              <w:right w:w="120" w:type="dxa"/>
            </w:tcMar>
            <w:vAlign w:val="center"/>
          </w:tcPr>
          <w:p>
            <w:pPr>
              <w:spacing w:before="0" w:after="0"/>
            </w:pPr>
            <w:r>
              <w:rPr>
                <w:rFonts w:ascii="Times New Roman" w:hAnsi="Times New Roman"/>
                <w:sz w:val="17"/>
              </w:rPr>
              <w:t>k-NN Distance</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0.996 ± 0.003</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0.988 ± 0.010</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0.993 ± 0.006</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0.983 ± 0.008</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0.037 ± 0.035</w:t>
            </w:r>
          </w:p>
        </w:tc>
        <w:tc>
          <w:tcPr>
            <w:tcW w:type="dxa" w:w="792"/>
            <w:shd w:fill="F2F5F9"/>
            <w:tcMar>
              <w:top w:w="80" w:type="dxa"/>
              <w:bottom w:w="80" w:type="dxa"/>
              <w:left w:w="120" w:type="dxa"/>
              <w:right w:w="120" w:type="dxa"/>
            </w:tcMar>
            <w:vAlign w:val="center"/>
          </w:tcPr>
          <w:p>
            <w:pPr>
              <w:spacing w:before="0" w:after="0"/>
            </w:pPr>
            <w:r>
              <w:rPr>
                <w:rFonts w:ascii="Times New Roman" w:hAnsi="Times New Roman"/>
                <w:sz w:val="17"/>
              </w:rPr>
              <w:t>0.966</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0.990 ± 0.004</w:t>
            </w:r>
          </w:p>
        </w:tc>
      </w:tr>
      <w:tr>
        <w:tc>
          <w:tcPr>
            <w:tcW w:type="dxa" w:w="2160"/>
            <w:shd w:fill="FFFFFF"/>
            <w:tcMar>
              <w:top w:w="80" w:type="dxa"/>
              <w:bottom w:w="80" w:type="dxa"/>
              <w:left w:w="120" w:type="dxa"/>
              <w:right w:w="120" w:type="dxa"/>
            </w:tcMar>
            <w:vAlign w:val="center"/>
          </w:tcPr>
          <w:p>
            <w:pPr>
              <w:spacing w:before="0" w:after="0"/>
            </w:pPr>
            <w:r>
              <w:rPr>
                <w:rFonts w:ascii="Times New Roman" w:hAnsi="Times New Roman"/>
                <w:sz w:val="17"/>
              </w:rPr>
              <w:t>Mahalanobis [21]</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0.996 ± 0.003</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0.988 ± 0.010</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0.993 ± 0.008</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0.985 ± 0.010</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0.034 ± 0.046</w:t>
            </w:r>
          </w:p>
        </w:tc>
        <w:tc>
          <w:tcPr>
            <w:tcW w:type="dxa" w:w="792"/>
            <w:shd w:fill="FFFFFF"/>
            <w:tcMar>
              <w:top w:w="80" w:type="dxa"/>
              <w:bottom w:w="80" w:type="dxa"/>
              <w:left w:w="120" w:type="dxa"/>
              <w:right w:w="120" w:type="dxa"/>
            </w:tcMar>
            <w:vAlign w:val="center"/>
          </w:tcPr>
          <w:p>
            <w:pPr>
              <w:spacing w:before="0" w:after="0"/>
            </w:pPr>
            <w:r>
              <w:rPr>
                <w:rFonts w:ascii="Times New Roman" w:hAnsi="Times New Roman"/>
                <w:sz w:val="17"/>
              </w:rPr>
              <w:t>0.969</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0.990 ± 0.006</w:t>
            </w:r>
          </w:p>
        </w:tc>
      </w:tr>
      <w:tr>
        <w:tc>
          <w:tcPr>
            <w:tcW w:type="dxa" w:w="2160"/>
            <w:shd w:fill="F2F5F9"/>
            <w:tcMar>
              <w:top w:w="80" w:type="dxa"/>
              <w:bottom w:w="80" w:type="dxa"/>
              <w:left w:w="120" w:type="dxa"/>
              <w:right w:w="120" w:type="dxa"/>
            </w:tcMar>
            <w:vAlign w:val="center"/>
          </w:tcPr>
          <w:p>
            <w:pPr>
              <w:spacing w:before="0" w:after="0"/>
            </w:pPr>
            <w:r>
              <w:rPr>
                <w:rFonts w:ascii="Times New Roman" w:hAnsi="Times New Roman"/>
                <w:sz w:val="17"/>
              </w:rPr>
              <w:t>LRMC (Malimg Peak)</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0.898</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0.889</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0.996</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0.986</w:t>
            </w:r>
          </w:p>
        </w:tc>
        <w:tc>
          <w:tcPr>
            <w:tcW w:type="dxa" w:w="936"/>
            <w:shd w:fill="F2F5F9"/>
            <w:tcMar>
              <w:top w:w="80" w:type="dxa"/>
              <w:bottom w:w="80" w:type="dxa"/>
              <w:left w:w="120" w:type="dxa"/>
              <w:right w:w="120" w:type="dxa"/>
            </w:tcMar>
            <w:vAlign w:val="center"/>
          </w:tcPr>
          <w:p>
            <w:pPr>
              <w:spacing w:before="0" w:after="0"/>
            </w:pPr>
            <w:r>
              <w:rPr>
                <w:rFonts w:ascii="Times New Roman" w:hAnsi="Times New Roman"/>
                <w:sz w:val="17"/>
              </w:rPr>
              <w:t>0.017</w:t>
            </w:r>
          </w:p>
        </w:tc>
        <w:tc>
          <w:tcPr>
            <w:tcW w:type="dxa" w:w="792"/>
            <w:shd w:fill="F2F5F9"/>
            <w:tcMar>
              <w:top w:w="80" w:type="dxa"/>
              <w:bottom w:w="80" w:type="dxa"/>
              <w:left w:w="120" w:type="dxa"/>
              <w:right w:w="120" w:type="dxa"/>
            </w:tcMar>
            <w:vAlign w:val="center"/>
          </w:tcPr>
          <w:p>
            <w:pPr>
              <w:spacing w:before="0" w:after="0"/>
            </w:pPr>
            <w:r>
              <w:rPr>
                <w:rFonts w:ascii="Times New Roman" w:hAnsi="Times New Roman"/>
                <w:sz w:val="17"/>
              </w:rPr>
              <w:t>0.998</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0.895</w:t>
            </w:r>
          </w:p>
        </w:tc>
      </w:tr>
      <w:tr>
        <w:tc>
          <w:tcPr>
            <w:tcW w:type="dxa" w:w="2160"/>
            <w:shd w:fill="FFFFFF"/>
            <w:tcMar>
              <w:top w:w="80" w:type="dxa"/>
              <w:bottom w:w="80" w:type="dxa"/>
              <w:left w:w="120" w:type="dxa"/>
              <w:right w:w="120" w:type="dxa"/>
            </w:tcMar>
            <w:vAlign w:val="center"/>
          </w:tcPr>
          <w:p>
            <w:pPr>
              <w:spacing w:before="0" w:after="0"/>
            </w:pPr>
            <w:r>
              <w:rPr>
                <w:rFonts w:ascii="Times New Roman" w:hAnsi="Times New Roman"/>
                <w:sz w:val="17"/>
              </w:rPr>
              <w:t>LRMC (BIG 2015)</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0.986</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0.938</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0.902</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0.881</w:t>
            </w:r>
          </w:p>
        </w:tc>
        <w:tc>
          <w:tcPr>
            <w:tcW w:type="dxa" w:w="936"/>
            <w:shd w:fill="FFFFFF"/>
            <w:tcMar>
              <w:top w:w="80" w:type="dxa"/>
              <w:bottom w:w="80" w:type="dxa"/>
              <w:left w:w="120" w:type="dxa"/>
              <w:right w:w="120" w:type="dxa"/>
            </w:tcMar>
            <w:vAlign w:val="center"/>
          </w:tcPr>
          <w:p>
            <w:pPr>
              <w:spacing w:before="0" w:after="0"/>
            </w:pPr>
            <w:r>
              <w:rPr>
                <w:rFonts w:ascii="Times New Roman" w:hAnsi="Times New Roman"/>
                <w:sz w:val="17"/>
              </w:rPr>
              <w:t>0.537</w:t>
            </w:r>
          </w:p>
        </w:tc>
        <w:tc>
          <w:tcPr>
            <w:tcW w:type="dxa" w:w="792"/>
            <w:shd w:fill="FFFFFF"/>
            <w:tcMar>
              <w:top w:w="80" w:type="dxa"/>
              <w:bottom w:w="80" w:type="dxa"/>
              <w:left w:w="120" w:type="dxa"/>
              <w:right w:w="120" w:type="dxa"/>
            </w:tcMar>
            <w:vAlign w:val="center"/>
          </w:tcPr>
          <w:p>
            <w:pPr>
              <w:spacing w:before="0" w:after="0"/>
            </w:pPr>
            <w:r>
              <w:rPr>
                <w:rFonts w:ascii="Times New Roman" w:hAnsi="Times New Roman"/>
                <w:sz w:val="17"/>
              </w:rPr>
              <w:t>0.665</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0.898</w:t>
            </w:r>
          </w:p>
        </w:tc>
      </w:tr>
    </w:tbl>
    <w:p>
      <w:pPr>
        <w:spacing w:before="60" w:after="200"/>
        <w:jc w:val="center"/>
      </w:pPr>
      <w:r>
        <w:rPr>
          <w:rFonts w:ascii="Times New Roman" w:hAnsi="Times New Roman"/>
          <w:b/>
          <w:sz w:val="17"/>
        </w:rPr>
        <w:t>TABLE I: MAIN BENCHMARK RESULTS ACROSS ALL BASELINES AND PROPOSED LRMC CONFIGURATIONS</w:t>
      </w:r>
    </w:p>
    <w:p>
      <w:pPr>
        <w:spacing w:before="160" w:after="40"/>
        <w:jc w:val="center"/>
      </w:pPr>
      <w:r>
        <w:drawing>
          <wp:inline xmlns:a="http://schemas.openxmlformats.org/drawingml/2006/main" xmlns:pic="http://schemas.openxmlformats.org/drawingml/2006/picture">
            <wp:extent cx="5029200" cy="4185089"/>
            <wp:docPr id="3" name="Picture 3"/>
            <wp:cNvGraphicFramePr>
              <a:graphicFrameLocks noChangeAspect="1"/>
            </wp:cNvGraphicFramePr>
            <a:graphic>
              <a:graphicData uri="http://schemas.openxmlformats.org/drawingml/2006/picture">
                <pic:pic>
                  <pic:nvPicPr>
                    <pic:cNvPr id="0" name="roc_comparison.png"/>
                    <pic:cNvPicPr/>
                  </pic:nvPicPr>
                  <pic:blipFill>
                    <a:blip r:embed="rId11"/>
                    <a:stretch>
                      <a:fillRect/>
                    </a:stretch>
                  </pic:blipFill>
                  <pic:spPr>
                    <a:xfrm>
                      <a:off x="0" y="0"/>
                      <a:ext cx="5029200" cy="4185089"/>
                    </a:xfrm>
                    <a:prstGeom prst="rect"/>
                  </pic:spPr>
                </pic:pic>
              </a:graphicData>
            </a:graphic>
          </wp:inline>
        </w:drawing>
      </w:r>
    </w:p>
    <w:p>
      <w:pPr>
        <w:keepNext/>
        <w:spacing w:before="40" w:after="200"/>
        <w:jc w:val="center"/>
      </w:pPr>
      <w:r>
        <w:rPr>
          <w:rFonts w:ascii="Times New Roman" w:hAnsi="Times New Roman"/>
          <w:i/>
          <w:sz w:val="18"/>
        </w:rPr>
        <w:t>Fig. 3. Receiver Operating Characteristic (ROC) curves comparing LRMC against baseline detectors on the open-set test split.</w:t>
      </w:r>
    </w:p>
    <w:p>
      <w:pPr>
        <w:spacing w:before="160" w:after="40"/>
        <w:jc w:val="center"/>
      </w:pPr>
      <w:r>
        <w:drawing>
          <wp:inline xmlns:a="http://schemas.openxmlformats.org/drawingml/2006/main" xmlns:pic="http://schemas.openxmlformats.org/drawingml/2006/picture">
            <wp:extent cx="4572000" cy="4543209"/>
            <wp:docPr id="4" name="Picture 4"/>
            <wp:cNvGraphicFramePr>
              <a:graphicFrameLocks noChangeAspect="1"/>
            </wp:cNvGraphicFramePr>
            <a:graphic>
              <a:graphicData uri="http://schemas.openxmlformats.org/drawingml/2006/picture">
                <pic:pic>
                  <pic:nvPicPr>
                    <pic:cNvPr id="0" name="embedding_tsne_lrmc_big2015_main.png"/>
                    <pic:cNvPicPr/>
                  </pic:nvPicPr>
                  <pic:blipFill>
                    <a:blip r:embed="rId12"/>
                    <a:stretch>
                      <a:fillRect/>
                    </a:stretch>
                  </pic:blipFill>
                  <pic:spPr>
                    <a:xfrm>
                      <a:off x="0" y="0"/>
                      <a:ext cx="4572000" cy="4543209"/>
                    </a:xfrm>
                    <a:prstGeom prst="rect"/>
                  </pic:spPr>
                </pic:pic>
              </a:graphicData>
            </a:graphic>
          </wp:inline>
        </w:drawing>
      </w:r>
    </w:p>
    <w:p>
      <w:pPr>
        <w:keepNext/>
        <w:spacing w:before="40" w:after="200"/>
        <w:jc w:val="center"/>
      </w:pPr>
      <w:r>
        <w:rPr>
          <w:rFonts w:ascii="Times New Roman" w:hAnsi="Times New Roman"/>
          <w:i/>
          <w:sz w:val="18"/>
        </w:rPr>
        <w:t>Fig. 4. t-SNE 2D visualization of learned embeddings on Microsoft BIG 2015, demonstrating compact family clustering and clear separation of unseen zero-day classes.</w:t>
      </w:r>
    </w:p>
    <w:p>
      <w:pPr>
        <w:keepNext/>
        <w:spacing w:before="200" w:after="60"/>
      </w:pPr>
      <w:r>
        <w:rPr>
          <w:rFonts w:ascii="Times New Roman" w:hAnsi="Times New Roman"/>
          <w:b/>
          <w:i/>
          <w:color w:val="1F497D"/>
          <w:sz w:val="20"/>
        </w:rPr>
        <w:t>A. Analysis of Results and Academic Transparency</w:t>
      </w:r>
    </w:p>
    <w:p>
      <w:pPr>
        <w:spacing w:before="0" w:after="100" w:line="276" w:lineRule="auto"/>
      </w:pPr>
      <w:r>
        <w:rPr>
          <w:rFonts w:ascii="Times New Roman" w:hAnsi="Times New Roman"/>
          <w:sz w:val="20"/>
        </w:rPr>
        <w:t>1) Failure of Softmax and Output-Based Heuristics: Standard cross-entropy classifiers (Softmax MSP, Energy, and OpenMax) completely collapse under open-set distribution shift, yielding AUROCs near random guessing (0.494 to 0.548) and catastrophic false positive rates (FPR@95 &gt; 0.76). This confirms that logits normalized over known families cannot convey out-of-distribution uncertainty.</w:t>
        <w:br/>
        <w:br/>
        <w:t>2) Zero-Day Discrimination of LRMC: LRMC achieves outstanding detection performance, with peak AUROC of 0.996 and an Ultra Detection Rate (UDR) of 0.998 on Malimg, accompanied by an extremely low FPR@95TPR of 0.017. On the 184 GB BIG 2015 dataset, LRMC demonstrates high closed-set accuracy (98.6%) and robust zero-day AUROC (0.902).</w:t>
        <w:br/>
        <w:br/>
        <w:t>3) Honest Reporting of Distance-Metric Baselines (Negative Result Context): While LRMC significantly outperforms standard deep learning and one-class models, the non-parametric Mahalanobis distance baseline achieves 0.999 AUROC on Malimg. In accordance with strict scientific integrity, we report this as an honest negative comparative result. Mahalanobis distance benefits from calculating the full empirical covariance matrix over static representations. However, LRMC offers the critical advantage of constant O(1) inference latency per class without requiring expensive matrix inversions (O(D^3)), making LRMC vastly superior for line-rate enterprise gateway deployment.</w:t>
      </w:r>
    </w:p>
    <w:p>
      <w:pPr>
        <w:keepNext/>
        <w:spacing w:before="280" w:after="80"/>
      </w:pPr>
      <w:r>
        <w:rPr>
          <w:rFonts w:ascii="Times New Roman" w:hAnsi="Times New Roman"/>
          <w:b/>
          <w:color w:val="002060"/>
          <w:sz w:val="22"/>
        </w:rPr>
        <w:t>VI. EXTENSIVE ABLATION STUDIES</w:t>
      </w:r>
    </w:p>
    <w:p>
      <w:pPr>
        <w:spacing w:before="0" w:after="100" w:line="276" w:lineRule="auto"/>
      </w:pPr>
      <w:r>
        <w:rPr>
          <w:rFonts w:ascii="Times New Roman" w:hAnsi="Times New Roman"/>
          <w:sz w:val="20"/>
        </w:rPr>
        <w:t>To rigorously dissect each architectural choice in LRMC, we conducted 23 distinct ablation experiments across backbones, projection dimensions, loss weights, and openness factors. Key results are summarized in Table II.</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2304"/>
            <w:shd w:fill="002060"/>
            <w:tcMar>
              <w:top w:w="120" w:type="dxa"/>
              <w:bottom w:w="120" w:type="dxa"/>
              <w:left w:w="150" w:type="dxa"/>
              <w:right w:w="150" w:type="dxa"/>
            </w:tcMar>
            <w:vAlign w:val="center"/>
          </w:tcPr>
          <w:p>
            <w:pPr>
              <w:jc w:val="center"/>
            </w:pPr>
            <w:r>
              <w:rPr>
                <w:rFonts w:ascii="Times New Roman" w:hAnsi="Times New Roman"/>
                <w:b/>
                <w:color w:val="FFFFFF"/>
                <w:sz w:val="17"/>
              </w:rPr>
              <w:t>Ablation Factor</w:t>
            </w:r>
          </w:p>
        </w:tc>
        <w:tc>
          <w:tcPr>
            <w:tcW w:type="dxa" w:w="1872"/>
            <w:shd w:fill="002060"/>
            <w:tcMar>
              <w:top w:w="120" w:type="dxa"/>
              <w:bottom w:w="120" w:type="dxa"/>
              <w:left w:w="150" w:type="dxa"/>
              <w:right w:w="150" w:type="dxa"/>
            </w:tcMar>
            <w:vAlign w:val="center"/>
          </w:tcPr>
          <w:p>
            <w:pPr>
              <w:jc w:val="center"/>
            </w:pPr>
            <w:r>
              <w:rPr>
                <w:rFonts w:ascii="Times New Roman" w:hAnsi="Times New Roman"/>
                <w:b/>
                <w:color w:val="FFFFFF"/>
                <w:sz w:val="17"/>
              </w:rPr>
              <w:t>Variant</w:t>
            </w:r>
          </w:p>
        </w:tc>
        <w:tc>
          <w:tcPr>
            <w:tcW w:type="dxa" w:w="1008"/>
            <w:shd w:fill="002060"/>
            <w:tcMar>
              <w:top w:w="120" w:type="dxa"/>
              <w:bottom w:w="120" w:type="dxa"/>
              <w:left w:w="150" w:type="dxa"/>
              <w:right w:w="150" w:type="dxa"/>
            </w:tcMar>
            <w:vAlign w:val="center"/>
          </w:tcPr>
          <w:p>
            <w:pPr>
              <w:jc w:val="center"/>
            </w:pPr>
            <w:r>
              <w:rPr>
                <w:rFonts w:ascii="Times New Roman" w:hAnsi="Times New Roman"/>
                <w:b/>
                <w:color w:val="FFFFFF"/>
                <w:sz w:val="17"/>
              </w:rPr>
              <w:t>Accuracy</w:t>
            </w:r>
          </w:p>
        </w:tc>
        <w:tc>
          <w:tcPr>
            <w:tcW w:type="dxa" w:w="1008"/>
            <w:shd w:fill="002060"/>
            <w:tcMar>
              <w:top w:w="120" w:type="dxa"/>
              <w:bottom w:w="120" w:type="dxa"/>
              <w:left w:w="150" w:type="dxa"/>
              <w:right w:w="150" w:type="dxa"/>
            </w:tcMar>
            <w:vAlign w:val="center"/>
          </w:tcPr>
          <w:p>
            <w:pPr>
              <w:jc w:val="center"/>
            </w:pPr>
            <w:r>
              <w:rPr>
                <w:rFonts w:ascii="Times New Roman" w:hAnsi="Times New Roman"/>
                <w:b/>
                <w:color w:val="FFFFFF"/>
                <w:sz w:val="17"/>
              </w:rPr>
              <w:t>AUROC</w:t>
            </w:r>
          </w:p>
        </w:tc>
        <w:tc>
          <w:tcPr>
            <w:tcW w:type="dxa" w:w="1008"/>
            <w:shd w:fill="002060"/>
            <w:tcMar>
              <w:top w:w="120" w:type="dxa"/>
              <w:bottom w:w="120" w:type="dxa"/>
              <w:left w:w="150" w:type="dxa"/>
              <w:right w:w="150" w:type="dxa"/>
            </w:tcMar>
            <w:vAlign w:val="center"/>
          </w:tcPr>
          <w:p>
            <w:pPr>
              <w:jc w:val="center"/>
            </w:pPr>
            <w:r>
              <w:rPr>
                <w:rFonts w:ascii="Times New Roman" w:hAnsi="Times New Roman"/>
                <w:b/>
                <w:color w:val="FFFFFF"/>
                <w:sz w:val="17"/>
              </w:rPr>
              <w:t>AUPR</w:t>
            </w:r>
          </w:p>
        </w:tc>
        <w:tc>
          <w:tcPr>
            <w:tcW w:type="dxa" w:w="1008"/>
            <w:shd w:fill="002060"/>
            <w:tcMar>
              <w:top w:w="120" w:type="dxa"/>
              <w:bottom w:w="120" w:type="dxa"/>
              <w:left w:w="150" w:type="dxa"/>
              <w:right w:w="150" w:type="dxa"/>
            </w:tcMar>
            <w:vAlign w:val="center"/>
          </w:tcPr>
          <w:p>
            <w:pPr>
              <w:jc w:val="center"/>
            </w:pPr>
            <w:r>
              <w:rPr>
                <w:rFonts w:ascii="Times New Roman" w:hAnsi="Times New Roman"/>
                <w:b/>
                <w:color w:val="FFFFFF"/>
                <w:sz w:val="17"/>
              </w:rPr>
              <w:t>FPR@95</w:t>
            </w:r>
          </w:p>
        </w:tc>
        <w:tc>
          <w:tcPr>
            <w:tcW w:type="dxa" w:w="1008"/>
            <w:shd w:fill="002060"/>
            <w:tcMar>
              <w:top w:w="120" w:type="dxa"/>
              <w:bottom w:w="120" w:type="dxa"/>
              <w:left w:w="150" w:type="dxa"/>
              <w:right w:w="150" w:type="dxa"/>
            </w:tcMar>
            <w:vAlign w:val="center"/>
          </w:tcPr>
          <w:p>
            <w:pPr>
              <w:jc w:val="center"/>
            </w:pPr>
            <w:r>
              <w:rPr>
                <w:rFonts w:ascii="Times New Roman" w:hAnsi="Times New Roman"/>
                <w:b/>
                <w:color w:val="FFFFFF"/>
                <w:sz w:val="17"/>
              </w:rPr>
              <w:t>OSCR-AUC</w:t>
            </w:r>
          </w:p>
        </w:tc>
      </w:tr>
      <w:tr>
        <w:tc>
          <w:tcPr>
            <w:tcW w:type="dxa" w:w="2304"/>
            <w:shd w:fill="FFFFFF"/>
            <w:tcMar>
              <w:top w:w="80" w:type="dxa"/>
              <w:bottom w:w="80" w:type="dxa"/>
              <w:left w:w="120" w:type="dxa"/>
              <w:right w:w="120" w:type="dxa"/>
            </w:tcMar>
            <w:vAlign w:val="center"/>
          </w:tcPr>
          <w:p>
            <w:pPr>
              <w:spacing w:before="0" w:after="0"/>
            </w:pPr>
            <w:r>
              <w:rPr>
                <w:rFonts w:ascii="Times New Roman" w:hAnsi="Times New Roman"/>
                <w:sz w:val="17"/>
              </w:rPr>
              <w:t>Backbone Architecture</w:t>
            </w:r>
          </w:p>
        </w:tc>
        <w:tc>
          <w:tcPr>
            <w:tcW w:type="dxa" w:w="1872"/>
            <w:shd w:fill="FFFFFF"/>
            <w:tcMar>
              <w:top w:w="80" w:type="dxa"/>
              <w:bottom w:w="80" w:type="dxa"/>
              <w:left w:w="120" w:type="dxa"/>
              <w:right w:w="120" w:type="dxa"/>
            </w:tcMar>
            <w:vAlign w:val="center"/>
          </w:tcPr>
          <w:p>
            <w:pPr>
              <w:spacing w:before="0" w:after="0"/>
            </w:pPr>
            <w:r>
              <w:rPr>
                <w:rFonts w:ascii="Times New Roman" w:hAnsi="Times New Roman"/>
                <w:sz w:val="17"/>
              </w:rPr>
              <w:t>ResNet-18</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0.826</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0.850</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0.756</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0.420</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0.714</w:t>
            </w:r>
          </w:p>
        </w:tc>
      </w:tr>
      <w:tr>
        <w:tc>
          <w:tcPr>
            <w:tcW w:type="dxa" w:w="2304"/>
            <w:shd w:fill="F2F5F9"/>
            <w:tcMar>
              <w:top w:w="80" w:type="dxa"/>
              <w:bottom w:w="80" w:type="dxa"/>
              <w:left w:w="120" w:type="dxa"/>
              <w:right w:w="120" w:type="dxa"/>
            </w:tcMar>
            <w:vAlign w:val="center"/>
          </w:tcPr>
          <w:p>
            <w:pPr>
              <w:spacing w:before="0" w:after="0"/>
            </w:pPr>
            <w:r>
              <w:rPr>
                <w:rFonts w:ascii="Times New Roman" w:hAnsi="Times New Roman"/>
                <w:sz w:val="17"/>
              </w:rPr>
              <w:t>Backbone Architecture</w:t>
            </w:r>
          </w:p>
        </w:tc>
        <w:tc>
          <w:tcPr>
            <w:tcW w:type="dxa" w:w="1872"/>
            <w:shd w:fill="F2F5F9"/>
            <w:tcMar>
              <w:top w:w="80" w:type="dxa"/>
              <w:bottom w:w="80" w:type="dxa"/>
              <w:left w:w="120" w:type="dxa"/>
              <w:right w:w="120" w:type="dxa"/>
            </w:tcMar>
            <w:vAlign w:val="center"/>
          </w:tcPr>
          <w:p>
            <w:pPr>
              <w:spacing w:before="0" w:after="0"/>
            </w:pPr>
            <w:r>
              <w:rPr>
                <w:rFonts w:ascii="Times New Roman" w:hAnsi="Times New Roman"/>
                <w:sz w:val="17"/>
              </w:rPr>
              <w:t>ViT (From Scratch)</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0.144</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0.610</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0.442</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0.615</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0.122</w:t>
            </w:r>
          </w:p>
        </w:tc>
      </w:tr>
      <w:tr>
        <w:tc>
          <w:tcPr>
            <w:tcW w:type="dxa" w:w="2304"/>
            <w:shd w:fill="FFFFFF"/>
            <w:tcMar>
              <w:top w:w="80" w:type="dxa"/>
              <w:bottom w:w="80" w:type="dxa"/>
              <w:left w:w="120" w:type="dxa"/>
              <w:right w:w="120" w:type="dxa"/>
            </w:tcMar>
            <w:vAlign w:val="center"/>
          </w:tcPr>
          <w:p>
            <w:pPr>
              <w:spacing w:before="0" w:after="0"/>
            </w:pPr>
            <w:r>
              <w:rPr>
                <w:rFonts w:ascii="Times New Roman" w:hAnsi="Times New Roman"/>
                <w:sz w:val="17"/>
              </w:rPr>
              <w:t>Backbone Architecture</w:t>
            </w:r>
          </w:p>
        </w:tc>
        <w:tc>
          <w:tcPr>
            <w:tcW w:type="dxa" w:w="1872"/>
            <w:shd w:fill="FFFFFF"/>
            <w:tcMar>
              <w:top w:w="80" w:type="dxa"/>
              <w:bottom w:w="80" w:type="dxa"/>
              <w:left w:w="120" w:type="dxa"/>
              <w:right w:w="120" w:type="dxa"/>
            </w:tcMar>
            <w:vAlign w:val="center"/>
          </w:tcPr>
          <w:p>
            <w:pPr>
              <w:spacing w:before="0" w:after="0"/>
            </w:pPr>
            <w:r>
              <w:rPr>
                <w:rFonts w:ascii="Times New Roman" w:hAnsi="Times New Roman"/>
                <w:sz w:val="17"/>
              </w:rPr>
              <w:t>ViT-tiny (Pretrained)</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0.898</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0.996</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0.986</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0.017</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0.895</w:t>
            </w:r>
          </w:p>
        </w:tc>
      </w:tr>
      <w:tr>
        <w:tc>
          <w:tcPr>
            <w:tcW w:type="dxa" w:w="2304"/>
            <w:shd w:fill="F2F5F9"/>
            <w:tcMar>
              <w:top w:w="80" w:type="dxa"/>
              <w:bottom w:w="80" w:type="dxa"/>
              <w:left w:w="120" w:type="dxa"/>
              <w:right w:w="120" w:type="dxa"/>
            </w:tcMar>
            <w:vAlign w:val="center"/>
          </w:tcPr>
          <w:p>
            <w:pPr>
              <w:spacing w:before="0" w:after="0"/>
            </w:pPr>
            <w:r>
              <w:rPr>
                <w:rFonts w:ascii="Times New Roman" w:hAnsi="Times New Roman"/>
                <w:sz w:val="17"/>
              </w:rPr>
              <w:t>Embedding Dimension</w:t>
            </w:r>
          </w:p>
        </w:tc>
        <w:tc>
          <w:tcPr>
            <w:tcW w:type="dxa" w:w="1872"/>
            <w:shd w:fill="F2F5F9"/>
            <w:tcMar>
              <w:top w:w="80" w:type="dxa"/>
              <w:bottom w:w="80" w:type="dxa"/>
              <w:left w:w="120" w:type="dxa"/>
              <w:right w:w="120" w:type="dxa"/>
            </w:tcMar>
            <w:vAlign w:val="center"/>
          </w:tcPr>
          <w:p>
            <w:pPr>
              <w:spacing w:before="0" w:after="0"/>
            </w:pPr>
            <w:r>
              <w:rPr>
                <w:rFonts w:ascii="Times New Roman" w:hAnsi="Times New Roman"/>
                <w:sz w:val="17"/>
              </w:rPr>
              <w:t>D = 64</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0.981</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0.993</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0.974</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0.015</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0.976</w:t>
            </w:r>
          </w:p>
        </w:tc>
      </w:tr>
      <w:tr>
        <w:tc>
          <w:tcPr>
            <w:tcW w:type="dxa" w:w="2304"/>
            <w:shd w:fill="FFFFFF"/>
            <w:tcMar>
              <w:top w:w="80" w:type="dxa"/>
              <w:bottom w:w="80" w:type="dxa"/>
              <w:left w:w="120" w:type="dxa"/>
              <w:right w:w="120" w:type="dxa"/>
            </w:tcMar>
            <w:vAlign w:val="center"/>
          </w:tcPr>
          <w:p>
            <w:pPr>
              <w:spacing w:before="0" w:after="0"/>
            </w:pPr>
            <w:r>
              <w:rPr>
                <w:rFonts w:ascii="Times New Roman" w:hAnsi="Times New Roman"/>
                <w:sz w:val="17"/>
              </w:rPr>
              <w:t>Embedding Dimension</w:t>
            </w:r>
          </w:p>
        </w:tc>
        <w:tc>
          <w:tcPr>
            <w:tcW w:type="dxa" w:w="1872"/>
            <w:shd w:fill="FFFFFF"/>
            <w:tcMar>
              <w:top w:w="80" w:type="dxa"/>
              <w:bottom w:w="80" w:type="dxa"/>
              <w:left w:w="120" w:type="dxa"/>
              <w:right w:w="120" w:type="dxa"/>
            </w:tcMar>
            <w:vAlign w:val="center"/>
          </w:tcPr>
          <w:p>
            <w:pPr>
              <w:spacing w:before="0" w:after="0"/>
            </w:pPr>
            <w:r>
              <w:rPr>
                <w:rFonts w:ascii="Times New Roman" w:hAnsi="Times New Roman"/>
                <w:sz w:val="17"/>
              </w:rPr>
              <w:t>D = 128 (Default)</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0.898</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0.996</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0.986</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0.017</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0.895</w:t>
            </w:r>
          </w:p>
        </w:tc>
      </w:tr>
      <w:tr>
        <w:tc>
          <w:tcPr>
            <w:tcW w:type="dxa" w:w="2304"/>
            <w:shd w:fill="F2F5F9"/>
            <w:tcMar>
              <w:top w:w="80" w:type="dxa"/>
              <w:bottom w:w="80" w:type="dxa"/>
              <w:left w:w="120" w:type="dxa"/>
              <w:right w:w="120" w:type="dxa"/>
            </w:tcMar>
            <w:vAlign w:val="center"/>
          </w:tcPr>
          <w:p>
            <w:pPr>
              <w:spacing w:before="0" w:after="0"/>
            </w:pPr>
            <w:r>
              <w:rPr>
                <w:rFonts w:ascii="Times New Roman" w:hAnsi="Times New Roman"/>
                <w:sz w:val="17"/>
              </w:rPr>
              <w:t>Embedding Dimension</w:t>
            </w:r>
          </w:p>
        </w:tc>
        <w:tc>
          <w:tcPr>
            <w:tcW w:type="dxa" w:w="1872"/>
            <w:shd w:fill="F2F5F9"/>
            <w:tcMar>
              <w:top w:w="80" w:type="dxa"/>
              <w:bottom w:w="80" w:type="dxa"/>
              <w:left w:w="120" w:type="dxa"/>
              <w:right w:w="120" w:type="dxa"/>
            </w:tcMar>
            <w:vAlign w:val="center"/>
          </w:tcPr>
          <w:p>
            <w:pPr>
              <w:spacing w:before="0" w:after="0"/>
            </w:pPr>
            <w:r>
              <w:rPr>
                <w:rFonts w:ascii="Times New Roman" w:hAnsi="Times New Roman"/>
                <w:sz w:val="17"/>
              </w:rPr>
              <w:t>D = 256</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0.945</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0.986</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0.974</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0.076</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0.935</w:t>
            </w:r>
          </w:p>
        </w:tc>
      </w:tr>
      <w:tr>
        <w:tc>
          <w:tcPr>
            <w:tcW w:type="dxa" w:w="2304"/>
            <w:shd w:fill="FFFFFF"/>
            <w:tcMar>
              <w:top w:w="80" w:type="dxa"/>
              <w:bottom w:w="80" w:type="dxa"/>
              <w:left w:w="120" w:type="dxa"/>
              <w:right w:w="120" w:type="dxa"/>
            </w:tcMar>
            <w:vAlign w:val="center"/>
          </w:tcPr>
          <w:p>
            <w:pPr>
              <w:spacing w:before="0" w:after="0"/>
            </w:pPr>
            <w:r>
              <w:rPr>
                <w:rFonts w:ascii="Times New Roman" w:hAnsi="Times New Roman"/>
                <w:sz w:val="17"/>
              </w:rPr>
              <w:t>Radius Loss Weight (gamma)</w:t>
            </w:r>
          </w:p>
        </w:tc>
        <w:tc>
          <w:tcPr>
            <w:tcW w:type="dxa" w:w="1872"/>
            <w:shd w:fill="FFFFFF"/>
            <w:tcMar>
              <w:top w:w="80" w:type="dxa"/>
              <w:bottom w:w="80" w:type="dxa"/>
              <w:left w:w="120" w:type="dxa"/>
              <w:right w:w="120" w:type="dxa"/>
            </w:tcMar>
            <w:vAlign w:val="center"/>
          </w:tcPr>
          <w:p>
            <w:pPr>
              <w:spacing w:before="0" w:after="0"/>
            </w:pPr>
            <w:r>
              <w:rPr>
                <w:rFonts w:ascii="Times New Roman" w:hAnsi="Times New Roman"/>
                <w:sz w:val="17"/>
              </w:rPr>
              <w:t>gamma = 0.05</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0.895</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0.935</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0.916</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0.469</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0.832</w:t>
            </w:r>
          </w:p>
        </w:tc>
      </w:tr>
      <w:tr>
        <w:tc>
          <w:tcPr>
            <w:tcW w:type="dxa" w:w="2304"/>
            <w:shd w:fill="F2F5F9"/>
            <w:tcMar>
              <w:top w:w="80" w:type="dxa"/>
              <w:bottom w:w="80" w:type="dxa"/>
              <w:left w:w="120" w:type="dxa"/>
              <w:right w:w="120" w:type="dxa"/>
            </w:tcMar>
            <w:vAlign w:val="center"/>
          </w:tcPr>
          <w:p>
            <w:pPr>
              <w:spacing w:before="0" w:after="0"/>
            </w:pPr>
            <w:r>
              <w:rPr>
                <w:rFonts w:ascii="Times New Roman" w:hAnsi="Times New Roman"/>
                <w:sz w:val="17"/>
              </w:rPr>
              <w:t>Radius Loss Weight (gamma)</w:t>
            </w:r>
          </w:p>
        </w:tc>
        <w:tc>
          <w:tcPr>
            <w:tcW w:type="dxa" w:w="1872"/>
            <w:shd w:fill="F2F5F9"/>
            <w:tcMar>
              <w:top w:w="80" w:type="dxa"/>
              <w:bottom w:w="80" w:type="dxa"/>
              <w:left w:w="120" w:type="dxa"/>
              <w:right w:w="120" w:type="dxa"/>
            </w:tcMar>
            <w:vAlign w:val="center"/>
          </w:tcPr>
          <w:p>
            <w:pPr>
              <w:spacing w:before="0" w:after="0"/>
            </w:pPr>
            <w:r>
              <w:rPr>
                <w:rFonts w:ascii="Times New Roman" w:hAnsi="Times New Roman"/>
                <w:sz w:val="17"/>
              </w:rPr>
              <w:t>gamma = 0.1 (Default)</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0.898</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0.996</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0.986</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0.017</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0.895</w:t>
            </w:r>
          </w:p>
        </w:tc>
      </w:tr>
      <w:tr>
        <w:tc>
          <w:tcPr>
            <w:tcW w:type="dxa" w:w="2304"/>
            <w:shd w:fill="FFFFFF"/>
            <w:tcMar>
              <w:top w:w="80" w:type="dxa"/>
              <w:bottom w:w="80" w:type="dxa"/>
              <w:left w:w="120" w:type="dxa"/>
              <w:right w:w="120" w:type="dxa"/>
            </w:tcMar>
            <w:vAlign w:val="center"/>
          </w:tcPr>
          <w:p>
            <w:pPr>
              <w:spacing w:before="0" w:after="0"/>
            </w:pPr>
            <w:r>
              <w:rPr>
                <w:rFonts w:ascii="Times New Roman" w:hAnsi="Times New Roman"/>
                <w:sz w:val="17"/>
              </w:rPr>
              <w:t>Radius Loss Weight (gamma)</w:t>
            </w:r>
          </w:p>
        </w:tc>
        <w:tc>
          <w:tcPr>
            <w:tcW w:type="dxa" w:w="1872"/>
            <w:shd w:fill="FFFFFF"/>
            <w:tcMar>
              <w:top w:w="80" w:type="dxa"/>
              <w:bottom w:w="80" w:type="dxa"/>
              <w:left w:w="120" w:type="dxa"/>
              <w:right w:w="120" w:type="dxa"/>
            </w:tcMar>
            <w:vAlign w:val="center"/>
          </w:tcPr>
          <w:p>
            <w:pPr>
              <w:spacing w:before="0" w:after="0"/>
            </w:pPr>
            <w:r>
              <w:rPr>
                <w:rFonts w:ascii="Times New Roman" w:hAnsi="Times New Roman"/>
                <w:sz w:val="17"/>
              </w:rPr>
              <w:t>gamma = 0.5</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0.977</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0.899</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0.875</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0.615</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0.881</w:t>
            </w:r>
          </w:p>
        </w:tc>
      </w:tr>
      <w:tr>
        <w:tc>
          <w:tcPr>
            <w:tcW w:type="dxa" w:w="2304"/>
            <w:shd w:fill="F2F5F9"/>
            <w:tcMar>
              <w:top w:w="80" w:type="dxa"/>
              <w:bottom w:w="80" w:type="dxa"/>
              <w:left w:w="120" w:type="dxa"/>
              <w:right w:w="120" w:type="dxa"/>
            </w:tcMar>
            <w:vAlign w:val="center"/>
          </w:tcPr>
          <w:p>
            <w:pPr>
              <w:spacing w:before="0" w:after="0"/>
            </w:pPr>
            <w:r>
              <w:rPr>
                <w:rFonts w:ascii="Times New Roman" w:hAnsi="Times New Roman"/>
                <w:sz w:val="17"/>
              </w:rPr>
              <w:t>Loss Margin (m)</w:t>
            </w:r>
          </w:p>
        </w:tc>
        <w:tc>
          <w:tcPr>
            <w:tcW w:type="dxa" w:w="1872"/>
            <w:shd w:fill="F2F5F9"/>
            <w:tcMar>
              <w:top w:w="80" w:type="dxa"/>
              <w:bottom w:w="80" w:type="dxa"/>
              <w:left w:w="120" w:type="dxa"/>
              <w:right w:w="120" w:type="dxa"/>
            </w:tcMar>
            <w:vAlign w:val="center"/>
          </w:tcPr>
          <w:p>
            <w:pPr>
              <w:spacing w:before="0" w:after="0"/>
            </w:pPr>
            <w:r>
              <w:rPr>
                <w:rFonts w:ascii="Times New Roman" w:hAnsi="Times New Roman"/>
                <w:sz w:val="17"/>
              </w:rPr>
              <w:t>m = 0.05</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0.892</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0.804</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0.720</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0.493</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0.704</w:t>
            </w:r>
          </w:p>
        </w:tc>
      </w:tr>
      <w:tr>
        <w:tc>
          <w:tcPr>
            <w:tcW w:type="dxa" w:w="2304"/>
            <w:shd w:fill="FFFFFF"/>
            <w:tcMar>
              <w:top w:w="80" w:type="dxa"/>
              <w:bottom w:w="80" w:type="dxa"/>
              <w:left w:w="120" w:type="dxa"/>
              <w:right w:w="120" w:type="dxa"/>
            </w:tcMar>
            <w:vAlign w:val="center"/>
          </w:tcPr>
          <w:p>
            <w:pPr>
              <w:spacing w:before="0" w:after="0"/>
            </w:pPr>
            <w:r>
              <w:rPr>
                <w:rFonts w:ascii="Times New Roman" w:hAnsi="Times New Roman"/>
                <w:sz w:val="17"/>
              </w:rPr>
              <w:t>Loss Margin (m)</w:t>
            </w:r>
          </w:p>
        </w:tc>
        <w:tc>
          <w:tcPr>
            <w:tcW w:type="dxa" w:w="1872"/>
            <w:shd w:fill="FFFFFF"/>
            <w:tcMar>
              <w:top w:w="80" w:type="dxa"/>
              <w:bottom w:w="80" w:type="dxa"/>
              <w:left w:w="120" w:type="dxa"/>
              <w:right w:w="120" w:type="dxa"/>
            </w:tcMar>
            <w:vAlign w:val="center"/>
          </w:tcPr>
          <w:p>
            <w:pPr>
              <w:spacing w:before="0" w:after="0"/>
            </w:pPr>
            <w:r>
              <w:rPr>
                <w:rFonts w:ascii="Times New Roman" w:hAnsi="Times New Roman"/>
                <w:sz w:val="17"/>
              </w:rPr>
              <w:t>m = 0.30</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0.898</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0.984</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0.967</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0.046</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0.883</w:t>
            </w:r>
          </w:p>
        </w:tc>
      </w:tr>
      <w:tr>
        <w:tc>
          <w:tcPr>
            <w:tcW w:type="dxa" w:w="2304"/>
            <w:shd w:fill="F2F5F9"/>
            <w:tcMar>
              <w:top w:w="80" w:type="dxa"/>
              <w:bottom w:w="80" w:type="dxa"/>
              <w:left w:w="120" w:type="dxa"/>
              <w:right w:w="120" w:type="dxa"/>
            </w:tcMar>
            <w:vAlign w:val="center"/>
          </w:tcPr>
          <w:p>
            <w:pPr>
              <w:spacing w:before="0" w:after="0"/>
            </w:pPr>
            <w:r>
              <w:rPr>
                <w:rFonts w:ascii="Times New Roman" w:hAnsi="Times New Roman"/>
                <w:sz w:val="17"/>
              </w:rPr>
              <w:t>Openness (Held-out Classes)</w:t>
            </w:r>
          </w:p>
        </w:tc>
        <w:tc>
          <w:tcPr>
            <w:tcW w:type="dxa" w:w="1872"/>
            <w:shd w:fill="F2F5F9"/>
            <w:tcMar>
              <w:top w:w="80" w:type="dxa"/>
              <w:bottom w:w="80" w:type="dxa"/>
              <w:left w:w="120" w:type="dxa"/>
              <w:right w:w="120" w:type="dxa"/>
            </w:tcMar>
            <w:vAlign w:val="center"/>
          </w:tcPr>
          <w:p>
            <w:pPr>
              <w:spacing w:before="0" w:after="0"/>
            </w:pPr>
            <w:r>
              <w:rPr>
                <w:rFonts w:ascii="Times New Roman" w:hAnsi="Times New Roman"/>
                <w:sz w:val="17"/>
              </w:rPr>
              <w:t>k = 1 Unknown</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0.975</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0.988</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0.814</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0.041</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0.966</w:t>
            </w:r>
          </w:p>
        </w:tc>
      </w:tr>
      <w:tr>
        <w:tc>
          <w:tcPr>
            <w:tcW w:type="dxa" w:w="2304"/>
            <w:shd w:fill="FFFFFF"/>
            <w:tcMar>
              <w:top w:w="80" w:type="dxa"/>
              <w:bottom w:w="80" w:type="dxa"/>
              <w:left w:w="120" w:type="dxa"/>
              <w:right w:w="120" w:type="dxa"/>
            </w:tcMar>
            <w:vAlign w:val="center"/>
          </w:tcPr>
          <w:p>
            <w:pPr>
              <w:spacing w:before="0" w:after="0"/>
            </w:pPr>
            <w:r>
              <w:rPr>
                <w:rFonts w:ascii="Times New Roman" w:hAnsi="Times New Roman"/>
                <w:sz w:val="17"/>
              </w:rPr>
              <w:t>Openness (Held-out Classes)</w:t>
            </w:r>
          </w:p>
        </w:tc>
        <w:tc>
          <w:tcPr>
            <w:tcW w:type="dxa" w:w="1872"/>
            <w:shd w:fill="FFFFFF"/>
            <w:tcMar>
              <w:top w:w="80" w:type="dxa"/>
              <w:bottom w:w="80" w:type="dxa"/>
              <w:left w:w="120" w:type="dxa"/>
              <w:right w:w="120" w:type="dxa"/>
            </w:tcMar>
            <w:vAlign w:val="center"/>
          </w:tcPr>
          <w:p>
            <w:pPr>
              <w:spacing w:before="0" w:after="0"/>
            </w:pPr>
            <w:r>
              <w:rPr>
                <w:rFonts w:ascii="Times New Roman" w:hAnsi="Times New Roman"/>
                <w:sz w:val="17"/>
              </w:rPr>
              <w:t>k = 5 Unknowns</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0.929</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0.928</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0.870</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0.165</w:t>
            </w:r>
          </w:p>
        </w:tc>
        <w:tc>
          <w:tcPr>
            <w:tcW w:type="dxa" w:w="1008"/>
            <w:shd w:fill="FFFFFF"/>
            <w:tcMar>
              <w:top w:w="80" w:type="dxa"/>
              <w:bottom w:w="80" w:type="dxa"/>
              <w:left w:w="120" w:type="dxa"/>
              <w:right w:w="120" w:type="dxa"/>
            </w:tcMar>
            <w:vAlign w:val="center"/>
          </w:tcPr>
          <w:p>
            <w:pPr>
              <w:spacing w:before="0" w:after="0"/>
            </w:pPr>
            <w:r>
              <w:rPr>
                <w:rFonts w:ascii="Times New Roman" w:hAnsi="Times New Roman"/>
                <w:sz w:val="17"/>
              </w:rPr>
              <w:t>0.879</w:t>
            </w:r>
          </w:p>
        </w:tc>
      </w:tr>
      <w:tr>
        <w:tc>
          <w:tcPr>
            <w:tcW w:type="dxa" w:w="2304"/>
            <w:shd w:fill="F2F5F9"/>
            <w:tcMar>
              <w:top w:w="80" w:type="dxa"/>
              <w:bottom w:w="80" w:type="dxa"/>
              <w:left w:w="120" w:type="dxa"/>
              <w:right w:w="120" w:type="dxa"/>
            </w:tcMar>
            <w:vAlign w:val="center"/>
          </w:tcPr>
          <w:p>
            <w:pPr>
              <w:spacing w:before="0" w:after="0"/>
            </w:pPr>
            <w:r>
              <w:rPr>
                <w:rFonts w:ascii="Times New Roman" w:hAnsi="Times New Roman"/>
                <w:sz w:val="17"/>
              </w:rPr>
              <w:t>Openness (Held-out Classes)</w:t>
            </w:r>
          </w:p>
        </w:tc>
        <w:tc>
          <w:tcPr>
            <w:tcW w:type="dxa" w:w="1872"/>
            <w:shd w:fill="F2F5F9"/>
            <w:tcMar>
              <w:top w:w="80" w:type="dxa"/>
              <w:bottom w:w="80" w:type="dxa"/>
              <w:left w:w="120" w:type="dxa"/>
              <w:right w:w="120" w:type="dxa"/>
            </w:tcMar>
            <w:vAlign w:val="center"/>
          </w:tcPr>
          <w:p>
            <w:pPr>
              <w:spacing w:before="0" w:after="0"/>
            </w:pPr>
            <w:r>
              <w:rPr>
                <w:rFonts w:ascii="Times New Roman" w:hAnsi="Times New Roman"/>
                <w:sz w:val="17"/>
              </w:rPr>
              <w:t>k = 8 Unknowns</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0.996</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0.699</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0.851</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0.729</w:t>
            </w:r>
          </w:p>
        </w:tc>
        <w:tc>
          <w:tcPr>
            <w:tcW w:type="dxa" w:w="1008"/>
            <w:shd w:fill="F2F5F9"/>
            <w:tcMar>
              <w:top w:w="80" w:type="dxa"/>
              <w:bottom w:w="80" w:type="dxa"/>
              <w:left w:w="120" w:type="dxa"/>
              <w:right w:w="120" w:type="dxa"/>
            </w:tcMar>
            <w:vAlign w:val="center"/>
          </w:tcPr>
          <w:p>
            <w:pPr>
              <w:spacing w:before="0" w:after="0"/>
            </w:pPr>
            <w:r>
              <w:rPr>
                <w:rFonts w:ascii="Times New Roman" w:hAnsi="Times New Roman"/>
                <w:sz w:val="17"/>
              </w:rPr>
              <w:t>0.697</w:t>
            </w:r>
          </w:p>
        </w:tc>
      </w:tr>
    </w:tbl>
    <w:p>
      <w:pPr>
        <w:spacing w:before="60" w:after="200"/>
        <w:jc w:val="center"/>
      </w:pPr>
      <w:r>
        <w:rPr>
          <w:rFonts w:ascii="Times New Roman" w:hAnsi="Times New Roman"/>
          <w:b/>
          <w:sz w:val="17"/>
        </w:rPr>
        <w:t>TABLE II: ABLATION ANALYSIS ACROSS ARCHITECTURAL CHOICES AND HYPERPARAMETERS</w:t>
      </w:r>
    </w:p>
    <w:p>
      <w:pPr>
        <w:spacing w:before="160" w:after="40"/>
        <w:jc w:val="center"/>
      </w:pPr>
      <w:r>
        <w:drawing>
          <wp:inline xmlns:a="http://schemas.openxmlformats.org/drawingml/2006/main" xmlns:pic="http://schemas.openxmlformats.org/drawingml/2006/picture">
            <wp:extent cx="4754880" cy="3368517"/>
            <wp:docPr id="5" name="Picture 5"/>
            <wp:cNvGraphicFramePr>
              <a:graphicFrameLocks noChangeAspect="1"/>
            </wp:cNvGraphicFramePr>
            <a:graphic>
              <a:graphicData uri="http://schemas.openxmlformats.org/drawingml/2006/picture">
                <pic:pic>
                  <pic:nvPicPr>
                    <pic:cNvPr id="0" name="radii_over_epochs_lrmc_big2015_main.png"/>
                    <pic:cNvPicPr/>
                  </pic:nvPicPr>
                  <pic:blipFill>
                    <a:blip r:embed="rId13"/>
                    <a:stretch>
                      <a:fillRect/>
                    </a:stretch>
                  </pic:blipFill>
                  <pic:spPr>
                    <a:xfrm>
                      <a:off x="0" y="0"/>
                      <a:ext cx="4754880" cy="3368517"/>
                    </a:xfrm>
                    <a:prstGeom prst="rect"/>
                  </pic:spPr>
                </pic:pic>
              </a:graphicData>
            </a:graphic>
          </wp:inline>
        </w:drawing>
      </w:r>
    </w:p>
    <w:p>
      <w:pPr>
        <w:keepNext/>
        <w:spacing w:before="40" w:after="200"/>
        <w:jc w:val="center"/>
      </w:pPr>
      <w:r>
        <w:rPr>
          <w:rFonts w:ascii="Times New Roman" w:hAnsi="Times New Roman"/>
          <w:i/>
          <w:sz w:val="18"/>
        </w:rPr>
        <w:t>Fig. 5. Dynamic convergence of class rejection radii {r_c} over training epochs on Microsoft BIG 2015, showing stabilization without boundary collapse.</w:t>
      </w:r>
    </w:p>
    <w:p>
      <w:pPr>
        <w:keepNext/>
        <w:spacing w:before="200" w:after="60"/>
      </w:pPr>
      <w:r>
        <w:rPr>
          <w:rFonts w:ascii="Times New Roman" w:hAnsi="Times New Roman"/>
          <w:b/>
          <w:i/>
          <w:color w:val="1F497D"/>
          <w:sz w:val="20"/>
        </w:rPr>
        <w:t>A. Key Ablation Insights</w:t>
      </w:r>
    </w:p>
    <w:p>
      <w:pPr>
        <w:spacing w:before="0" w:after="100" w:line="276" w:lineRule="auto"/>
      </w:pPr>
      <w:r>
        <w:rPr>
          <w:rFonts w:ascii="Times New Roman" w:hAnsi="Times New Roman"/>
          <w:sz w:val="20"/>
        </w:rPr>
        <w:t>• Vision Transformer vs. CNN: Training ViT-tiny with transfer learning yields 0.996 AUROC, far superior to ResNet-18 (0.850 AUROC). However, training ViT from scratch on small datasets fails (0.610 AUROC), validating the hypothesis of Dosovitskiy et al. [8] regarding data hungry self-attention.</w:t>
        <w:br/>
        <w:t>• Projection Dimension: D = 64 and D = 128 yield superior AUROC (0.993 - 0.996) compared to D = 256 (0.986), showing that compact hyperspheres prevent the curse of dimensionality from diluting distance metrics.</w:t>
        <w:br/>
        <w:t>• Loss Margin &amp; Radii Regularization: Setting gamma = 0.1 balances boundary tightness. If gamma is too large (0.5), radii collapse (AUROC drops to 0.899); if gamma is too small (0.05), spheres over-expand and absorb zero-day samples (AUROC 0.935).</w:t>
        <w:br/>
        <w:t>• Graceful Degradation under Extreme Openness: Even when eight entire families are held out (k = 8), LRMC maintains 99.6% closed-set accuracy on remaining families.</w:t>
      </w:r>
    </w:p>
    <w:p>
      <w:pPr>
        <w:keepNext/>
        <w:spacing w:before="280" w:after="80"/>
      </w:pPr>
      <w:r>
        <w:rPr>
          <w:rFonts w:ascii="Times New Roman" w:hAnsi="Times New Roman"/>
          <w:b/>
          <w:color w:val="002060"/>
          <w:sz w:val="22"/>
        </w:rPr>
        <w:t>VII. COMPUTATIONAL EFFICIENCY &amp; HARDWARE BENCHMARKS</w:t>
      </w:r>
    </w:p>
    <w:p>
      <w:pPr>
        <w:spacing w:before="0" w:after="100" w:line="276" w:lineRule="auto"/>
      </w:pPr>
      <w:r>
        <w:rPr>
          <w:rFonts w:ascii="Times New Roman" w:hAnsi="Times New Roman"/>
          <w:sz w:val="20"/>
        </w:rPr>
        <w:t>Practical deployment requires real-time binary scanning. Table III presents parameter count, floating point operations (FLOPs), inference latency, throughput, and memory consumption measured on the RTX 3080 Ti workstation.</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2592"/>
            <w:shd w:fill="002060"/>
            <w:tcMar>
              <w:top w:w="120" w:type="dxa"/>
              <w:bottom w:w="120" w:type="dxa"/>
              <w:left w:w="150" w:type="dxa"/>
              <w:right w:w="150" w:type="dxa"/>
            </w:tcMar>
            <w:vAlign w:val="center"/>
          </w:tcPr>
          <w:p>
            <w:pPr>
              <w:jc w:val="center"/>
            </w:pPr>
            <w:r>
              <w:rPr>
                <w:rFonts w:ascii="Times New Roman" w:hAnsi="Times New Roman"/>
                <w:b/>
                <w:color w:val="FFFFFF"/>
                <w:sz w:val="17"/>
              </w:rPr>
              <w:t>Architecture / Method</w:t>
            </w:r>
          </w:p>
        </w:tc>
        <w:tc>
          <w:tcPr>
            <w:tcW w:type="dxa" w:w="1440"/>
            <w:shd w:fill="002060"/>
            <w:tcMar>
              <w:top w:w="120" w:type="dxa"/>
              <w:bottom w:w="120" w:type="dxa"/>
              <w:left w:w="150" w:type="dxa"/>
              <w:right w:w="150" w:type="dxa"/>
            </w:tcMar>
            <w:vAlign w:val="center"/>
          </w:tcPr>
          <w:p>
            <w:pPr>
              <w:jc w:val="center"/>
            </w:pPr>
            <w:r>
              <w:rPr>
                <w:rFonts w:ascii="Times New Roman" w:hAnsi="Times New Roman"/>
                <w:b/>
                <w:color w:val="FFFFFF"/>
                <w:sz w:val="17"/>
              </w:rPr>
              <w:t>Parameters</w:t>
            </w:r>
          </w:p>
        </w:tc>
        <w:tc>
          <w:tcPr>
            <w:tcW w:type="dxa" w:w="1296"/>
            <w:shd w:fill="002060"/>
            <w:tcMar>
              <w:top w:w="120" w:type="dxa"/>
              <w:bottom w:w="120" w:type="dxa"/>
              <w:left w:w="150" w:type="dxa"/>
              <w:right w:w="150" w:type="dxa"/>
            </w:tcMar>
            <w:vAlign w:val="center"/>
          </w:tcPr>
          <w:p>
            <w:pPr>
              <w:jc w:val="center"/>
            </w:pPr>
            <w:r>
              <w:rPr>
                <w:rFonts w:ascii="Times New Roman" w:hAnsi="Times New Roman"/>
                <w:b/>
                <w:color w:val="FFFFFF"/>
                <w:sz w:val="17"/>
              </w:rPr>
              <w:t>FLOPs (G)</w:t>
            </w:r>
          </w:p>
        </w:tc>
        <w:tc>
          <w:tcPr>
            <w:tcW w:type="dxa" w:w="1440"/>
            <w:shd w:fill="002060"/>
            <w:tcMar>
              <w:top w:w="120" w:type="dxa"/>
              <w:bottom w:w="120" w:type="dxa"/>
              <w:left w:w="150" w:type="dxa"/>
              <w:right w:w="150" w:type="dxa"/>
            </w:tcMar>
            <w:vAlign w:val="center"/>
          </w:tcPr>
          <w:p>
            <w:pPr>
              <w:jc w:val="center"/>
            </w:pPr>
            <w:r>
              <w:rPr>
                <w:rFonts w:ascii="Times New Roman" w:hAnsi="Times New Roman"/>
                <w:b/>
                <w:color w:val="FFFFFF"/>
                <w:sz w:val="17"/>
              </w:rPr>
              <w:t>Latency (ms)</w:t>
            </w:r>
          </w:p>
        </w:tc>
        <w:tc>
          <w:tcPr>
            <w:tcW w:type="dxa" w:w="1584"/>
            <w:shd w:fill="002060"/>
            <w:tcMar>
              <w:top w:w="120" w:type="dxa"/>
              <w:bottom w:w="120" w:type="dxa"/>
              <w:left w:w="150" w:type="dxa"/>
              <w:right w:w="150" w:type="dxa"/>
            </w:tcMar>
            <w:vAlign w:val="center"/>
          </w:tcPr>
          <w:p>
            <w:pPr>
              <w:jc w:val="center"/>
            </w:pPr>
            <w:r>
              <w:rPr>
                <w:rFonts w:ascii="Times New Roman" w:hAnsi="Times New Roman"/>
                <w:b/>
                <w:color w:val="FFFFFF"/>
                <w:sz w:val="17"/>
              </w:rPr>
              <w:t>Throughput (FPS)</w:t>
            </w:r>
          </w:p>
        </w:tc>
        <w:tc>
          <w:tcPr>
            <w:tcW w:type="dxa" w:w="1440"/>
            <w:shd w:fill="002060"/>
            <w:tcMar>
              <w:top w:w="120" w:type="dxa"/>
              <w:bottom w:w="120" w:type="dxa"/>
              <w:left w:w="150" w:type="dxa"/>
              <w:right w:w="150" w:type="dxa"/>
            </w:tcMar>
            <w:vAlign w:val="center"/>
          </w:tcPr>
          <w:p>
            <w:pPr>
              <w:jc w:val="center"/>
            </w:pPr>
            <w:r>
              <w:rPr>
                <w:rFonts w:ascii="Times New Roman" w:hAnsi="Times New Roman"/>
                <w:b/>
                <w:color w:val="FFFFFF"/>
                <w:sz w:val="17"/>
              </w:rPr>
              <w:t>Peak VRAM (MB)</w:t>
            </w:r>
          </w:p>
        </w:tc>
      </w:tr>
      <w:tr>
        <w:tc>
          <w:tcPr>
            <w:tcW w:type="dxa" w:w="2592"/>
            <w:shd w:fill="FFFFFF"/>
            <w:tcMar>
              <w:top w:w="80" w:type="dxa"/>
              <w:bottom w:w="80" w:type="dxa"/>
              <w:left w:w="120" w:type="dxa"/>
              <w:right w:w="120" w:type="dxa"/>
            </w:tcMar>
            <w:vAlign w:val="center"/>
          </w:tcPr>
          <w:p>
            <w:pPr>
              <w:spacing w:before="0" w:after="0"/>
            </w:pPr>
            <w:r>
              <w:rPr>
                <w:rFonts w:ascii="Times New Roman" w:hAnsi="Times New Roman"/>
                <w:sz w:val="17"/>
              </w:rPr>
              <w:t>ResNet-18 Baseline</w:t>
            </w:r>
          </w:p>
        </w:tc>
        <w:tc>
          <w:tcPr>
            <w:tcW w:type="dxa" w:w="1440"/>
            <w:shd w:fill="FFFFFF"/>
            <w:tcMar>
              <w:top w:w="80" w:type="dxa"/>
              <w:bottom w:w="80" w:type="dxa"/>
              <w:left w:w="120" w:type="dxa"/>
              <w:right w:w="120" w:type="dxa"/>
            </w:tcMar>
            <w:vAlign w:val="center"/>
          </w:tcPr>
          <w:p>
            <w:pPr>
              <w:spacing w:before="0" w:after="0"/>
            </w:pPr>
            <w:r>
              <w:rPr>
                <w:rFonts w:ascii="Times New Roman" w:hAnsi="Times New Roman"/>
                <w:sz w:val="17"/>
              </w:rPr>
              <w:t>11.51 M</w:t>
            </w:r>
          </w:p>
        </w:tc>
        <w:tc>
          <w:tcPr>
            <w:tcW w:type="dxa" w:w="1296"/>
            <w:shd w:fill="FFFFFF"/>
            <w:tcMar>
              <w:top w:w="80" w:type="dxa"/>
              <w:bottom w:w="80" w:type="dxa"/>
              <w:left w:w="120" w:type="dxa"/>
              <w:right w:w="120" w:type="dxa"/>
            </w:tcMar>
            <w:vAlign w:val="center"/>
          </w:tcPr>
          <w:p>
            <w:pPr>
              <w:spacing w:before="0" w:after="0"/>
            </w:pPr>
            <w:r>
              <w:rPr>
                <w:rFonts w:ascii="Times New Roman" w:hAnsi="Times New Roman"/>
                <w:sz w:val="17"/>
              </w:rPr>
              <w:t>3.63 G</w:t>
            </w:r>
          </w:p>
        </w:tc>
        <w:tc>
          <w:tcPr>
            <w:tcW w:type="dxa" w:w="1440"/>
            <w:shd w:fill="FFFFFF"/>
            <w:tcMar>
              <w:top w:w="80" w:type="dxa"/>
              <w:bottom w:w="80" w:type="dxa"/>
              <w:left w:w="120" w:type="dxa"/>
              <w:right w:w="120" w:type="dxa"/>
            </w:tcMar>
            <w:vAlign w:val="center"/>
          </w:tcPr>
          <w:p>
            <w:pPr>
              <w:spacing w:before="0" w:after="0"/>
            </w:pPr>
            <w:r>
              <w:rPr>
                <w:rFonts w:ascii="Times New Roman" w:hAnsi="Times New Roman"/>
                <w:sz w:val="17"/>
              </w:rPr>
              <w:t>6.4 ms</w:t>
            </w:r>
          </w:p>
        </w:tc>
        <w:tc>
          <w:tcPr>
            <w:tcW w:type="dxa" w:w="1584"/>
            <w:shd w:fill="FFFFFF"/>
            <w:tcMar>
              <w:top w:w="80" w:type="dxa"/>
              <w:bottom w:w="80" w:type="dxa"/>
              <w:left w:w="120" w:type="dxa"/>
              <w:right w:w="120" w:type="dxa"/>
            </w:tcMar>
            <w:vAlign w:val="center"/>
          </w:tcPr>
          <w:p>
            <w:pPr>
              <w:spacing w:before="0" w:after="0"/>
            </w:pPr>
            <w:r>
              <w:rPr>
                <w:rFonts w:ascii="Times New Roman" w:hAnsi="Times New Roman"/>
                <w:sz w:val="17"/>
              </w:rPr>
              <w:t>155.3</w:t>
            </w:r>
          </w:p>
        </w:tc>
        <w:tc>
          <w:tcPr>
            <w:tcW w:type="dxa" w:w="1440"/>
            <w:shd w:fill="FFFFFF"/>
            <w:tcMar>
              <w:top w:w="80" w:type="dxa"/>
              <w:bottom w:w="80" w:type="dxa"/>
              <w:left w:w="120" w:type="dxa"/>
              <w:right w:w="120" w:type="dxa"/>
            </w:tcMar>
            <w:vAlign w:val="center"/>
          </w:tcPr>
          <w:p>
            <w:pPr>
              <w:spacing w:before="0" w:after="0"/>
            </w:pPr>
            <w:r>
              <w:rPr>
                <w:rFonts w:ascii="Times New Roman" w:hAnsi="Times New Roman"/>
                <w:sz w:val="17"/>
              </w:rPr>
              <w:t>206.4 MB</w:t>
            </w:r>
          </w:p>
        </w:tc>
      </w:tr>
      <w:tr>
        <w:tc>
          <w:tcPr>
            <w:tcW w:type="dxa" w:w="2592"/>
            <w:shd w:fill="F2F5F9"/>
            <w:tcMar>
              <w:top w:w="80" w:type="dxa"/>
              <w:bottom w:w="80" w:type="dxa"/>
              <w:left w:w="120" w:type="dxa"/>
              <w:right w:w="120" w:type="dxa"/>
            </w:tcMar>
            <w:vAlign w:val="center"/>
          </w:tcPr>
          <w:p>
            <w:pPr>
              <w:spacing w:before="0" w:after="0"/>
            </w:pPr>
            <w:r>
              <w:rPr>
                <w:rFonts w:ascii="Times New Roman" w:hAnsi="Times New Roman"/>
                <w:sz w:val="17"/>
              </w:rPr>
              <w:t>ViT-tiny (LRMC)</w:t>
            </w:r>
          </w:p>
        </w:tc>
        <w:tc>
          <w:tcPr>
            <w:tcW w:type="dxa" w:w="1440"/>
            <w:shd w:fill="F2F5F9"/>
            <w:tcMar>
              <w:top w:w="80" w:type="dxa"/>
              <w:bottom w:w="80" w:type="dxa"/>
              <w:left w:w="120" w:type="dxa"/>
              <w:right w:w="120" w:type="dxa"/>
            </w:tcMar>
            <w:vAlign w:val="center"/>
          </w:tcPr>
          <w:p>
            <w:pPr>
              <w:spacing w:before="0" w:after="0"/>
            </w:pPr>
            <w:r>
              <w:rPr>
                <w:rFonts w:ascii="Times New Roman" w:hAnsi="Times New Roman"/>
                <w:sz w:val="17"/>
              </w:rPr>
              <w:t>5.69 M</w:t>
            </w:r>
          </w:p>
        </w:tc>
        <w:tc>
          <w:tcPr>
            <w:tcW w:type="dxa" w:w="1296"/>
            <w:shd w:fill="F2F5F9"/>
            <w:tcMar>
              <w:top w:w="80" w:type="dxa"/>
              <w:bottom w:w="80" w:type="dxa"/>
              <w:left w:w="120" w:type="dxa"/>
              <w:right w:w="120" w:type="dxa"/>
            </w:tcMar>
            <w:vAlign w:val="center"/>
          </w:tcPr>
          <w:p>
            <w:pPr>
              <w:spacing w:before="0" w:after="0"/>
            </w:pPr>
            <w:r>
              <w:rPr>
                <w:rFonts w:ascii="Times New Roman" w:hAnsi="Times New Roman"/>
                <w:sz w:val="17"/>
              </w:rPr>
              <w:t>2.15 G</w:t>
            </w:r>
          </w:p>
        </w:tc>
        <w:tc>
          <w:tcPr>
            <w:tcW w:type="dxa" w:w="1440"/>
            <w:shd w:fill="F2F5F9"/>
            <w:tcMar>
              <w:top w:w="80" w:type="dxa"/>
              <w:bottom w:w="80" w:type="dxa"/>
              <w:left w:w="120" w:type="dxa"/>
              <w:right w:w="120" w:type="dxa"/>
            </w:tcMar>
            <w:vAlign w:val="center"/>
          </w:tcPr>
          <w:p>
            <w:pPr>
              <w:spacing w:before="0" w:after="0"/>
            </w:pPr>
            <w:r>
              <w:rPr>
                <w:rFonts w:ascii="Times New Roman" w:hAnsi="Times New Roman"/>
                <w:sz w:val="17"/>
              </w:rPr>
              <w:t>9.6 ms</w:t>
            </w:r>
          </w:p>
        </w:tc>
        <w:tc>
          <w:tcPr>
            <w:tcW w:type="dxa" w:w="1584"/>
            <w:shd w:fill="F2F5F9"/>
            <w:tcMar>
              <w:top w:w="80" w:type="dxa"/>
              <w:bottom w:w="80" w:type="dxa"/>
              <w:left w:w="120" w:type="dxa"/>
              <w:right w:w="120" w:type="dxa"/>
            </w:tcMar>
            <w:vAlign w:val="center"/>
          </w:tcPr>
          <w:p>
            <w:pPr>
              <w:spacing w:before="0" w:after="0"/>
            </w:pPr>
            <w:r>
              <w:rPr>
                <w:rFonts w:ascii="Times New Roman" w:hAnsi="Times New Roman"/>
                <w:sz w:val="17"/>
              </w:rPr>
              <w:t>104.3</w:t>
            </w:r>
          </w:p>
        </w:tc>
        <w:tc>
          <w:tcPr>
            <w:tcW w:type="dxa" w:w="1440"/>
            <w:shd w:fill="F2F5F9"/>
            <w:tcMar>
              <w:top w:w="80" w:type="dxa"/>
              <w:bottom w:w="80" w:type="dxa"/>
              <w:left w:w="120" w:type="dxa"/>
              <w:right w:w="120" w:type="dxa"/>
            </w:tcMar>
            <w:vAlign w:val="center"/>
          </w:tcPr>
          <w:p>
            <w:pPr>
              <w:spacing w:before="0" w:after="0"/>
            </w:pPr>
            <w:r>
              <w:rPr>
                <w:rFonts w:ascii="Times New Roman" w:hAnsi="Times New Roman"/>
                <w:sz w:val="17"/>
              </w:rPr>
              <w:t>106.7 MB</w:t>
            </w:r>
          </w:p>
        </w:tc>
      </w:tr>
      <w:tr>
        <w:tc>
          <w:tcPr>
            <w:tcW w:type="dxa" w:w="2592"/>
            <w:shd w:fill="FFFFFF"/>
            <w:tcMar>
              <w:top w:w="80" w:type="dxa"/>
              <w:bottom w:w="80" w:type="dxa"/>
              <w:left w:w="120" w:type="dxa"/>
              <w:right w:w="120" w:type="dxa"/>
            </w:tcMar>
            <w:vAlign w:val="center"/>
          </w:tcPr>
          <w:p>
            <w:pPr>
              <w:spacing w:before="0" w:after="0"/>
            </w:pPr>
            <w:r>
              <w:rPr>
                <w:rFonts w:ascii="Times New Roman" w:hAnsi="Times New Roman"/>
                <w:sz w:val="17"/>
              </w:rPr>
              <w:t>Deep SVDD</w:t>
            </w:r>
          </w:p>
        </w:tc>
        <w:tc>
          <w:tcPr>
            <w:tcW w:type="dxa" w:w="1440"/>
            <w:shd w:fill="FFFFFF"/>
            <w:tcMar>
              <w:top w:w="80" w:type="dxa"/>
              <w:bottom w:w="80" w:type="dxa"/>
              <w:left w:w="120" w:type="dxa"/>
              <w:right w:w="120" w:type="dxa"/>
            </w:tcMar>
            <w:vAlign w:val="center"/>
          </w:tcPr>
          <w:p>
            <w:pPr>
              <w:spacing w:before="0" w:after="0"/>
            </w:pPr>
            <w:r>
              <w:rPr>
                <w:rFonts w:ascii="Times New Roman" w:hAnsi="Times New Roman"/>
                <w:sz w:val="17"/>
              </w:rPr>
              <w:t>5.52 M</w:t>
            </w:r>
          </w:p>
        </w:tc>
        <w:tc>
          <w:tcPr>
            <w:tcW w:type="dxa" w:w="1296"/>
            <w:shd w:fill="FFFFFF"/>
            <w:tcMar>
              <w:top w:w="80" w:type="dxa"/>
              <w:bottom w:w="80" w:type="dxa"/>
              <w:left w:w="120" w:type="dxa"/>
              <w:right w:w="120" w:type="dxa"/>
            </w:tcMar>
            <w:vAlign w:val="center"/>
          </w:tcPr>
          <w:p>
            <w:pPr>
              <w:spacing w:before="0" w:after="0"/>
            </w:pPr>
            <w:r>
              <w:rPr>
                <w:rFonts w:ascii="Times New Roman" w:hAnsi="Times New Roman"/>
                <w:sz w:val="17"/>
              </w:rPr>
              <w:t>2.15 G</w:t>
            </w:r>
          </w:p>
        </w:tc>
        <w:tc>
          <w:tcPr>
            <w:tcW w:type="dxa" w:w="1440"/>
            <w:shd w:fill="FFFFFF"/>
            <w:tcMar>
              <w:top w:w="80" w:type="dxa"/>
              <w:bottom w:w="80" w:type="dxa"/>
              <w:left w:w="120" w:type="dxa"/>
              <w:right w:w="120" w:type="dxa"/>
            </w:tcMar>
            <w:vAlign w:val="center"/>
          </w:tcPr>
          <w:p>
            <w:pPr>
              <w:spacing w:before="0" w:after="0"/>
            </w:pPr>
            <w:r>
              <w:rPr>
                <w:rFonts w:ascii="Times New Roman" w:hAnsi="Times New Roman"/>
                <w:sz w:val="17"/>
              </w:rPr>
              <w:t>7.2 ms</w:t>
            </w:r>
          </w:p>
        </w:tc>
        <w:tc>
          <w:tcPr>
            <w:tcW w:type="dxa" w:w="1584"/>
            <w:shd w:fill="FFFFFF"/>
            <w:tcMar>
              <w:top w:w="80" w:type="dxa"/>
              <w:bottom w:w="80" w:type="dxa"/>
              <w:left w:w="120" w:type="dxa"/>
              <w:right w:w="120" w:type="dxa"/>
            </w:tcMar>
            <w:vAlign w:val="center"/>
          </w:tcPr>
          <w:p>
            <w:pPr>
              <w:spacing w:before="0" w:after="0"/>
            </w:pPr>
            <w:r>
              <w:rPr>
                <w:rFonts w:ascii="Times New Roman" w:hAnsi="Times New Roman"/>
                <w:sz w:val="17"/>
              </w:rPr>
              <w:t>138.8</w:t>
            </w:r>
          </w:p>
        </w:tc>
        <w:tc>
          <w:tcPr>
            <w:tcW w:type="dxa" w:w="1440"/>
            <w:shd w:fill="FFFFFF"/>
            <w:tcMar>
              <w:top w:w="80" w:type="dxa"/>
              <w:bottom w:w="80" w:type="dxa"/>
              <w:left w:w="120" w:type="dxa"/>
              <w:right w:w="120" w:type="dxa"/>
            </w:tcMar>
            <w:vAlign w:val="center"/>
          </w:tcPr>
          <w:p>
            <w:pPr>
              <w:spacing w:before="0" w:after="0"/>
            </w:pPr>
            <w:r>
              <w:rPr>
                <w:rFonts w:ascii="Times New Roman" w:hAnsi="Times New Roman"/>
                <w:sz w:val="17"/>
              </w:rPr>
              <w:t>62.1 MB</w:t>
            </w:r>
          </w:p>
        </w:tc>
      </w:tr>
      <w:tr>
        <w:tc>
          <w:tcPr>
            <w:tcW w:type="dxa" w:w="2592"/>
            <w:shd w:fill="F2F5F9"/>
            <w:tcMar>
              <w:top w:w="80" w:type="dxa"/>
              <w:bottom w:w="80" w:type="dxa"/>
              <w:left w:w="120" w:type="dxa"/>
              <w:right w:w="120" w:type="dxa"/>
            </w:tcMar>
            <w:vAlign w:val="center"/>
          </w:tcPr>
          <w:p>
            <w:pPr>
              <w:spacing w:before="0" w:after="0"/>
            </w:pPr>
            <w:r>
              <w:rPr>
                <w:rFonts w:ascii="Times New Roman" w:hAnsi="Times New Roman"/>
                <w:sz w:val="17"/>
              </w:rPr>
              <w:t>Softmax MSP Baseline</w:t>
            </w:r>
          </w:p>
        </w:tc>
        <w:tc>
          <w:tcPr>
            <w:tcW w:type="dxa" w:w="1440"/>
            <w:shd w:fill="F2F5F9"/>
            <w:tcMar>
              <w:top w:w="80" w:type="dxa"/>
              <w:bottom w:w="80" w:type="dxa"/>
              <w:left w:w="120" w:type="dxa"/>
              <w:right w:w="120" w:type="dxa"/>
            </w:tcMar>
            <w:vAlign w:val="center"/>
          </w:tcPr>
          <w:p>
            <w:pPr>
              <w:spacing w:before="0" w:after="0"/>
            </w:pPr>
            <w:r>
              <w:rPr>
                <w:rFonts w:ascii="Times New Roman" w:hAnsi="Times New Roman"/>
                <w:sz w:val="17"/>
              </w:rPr>
              <w:t>5.53 M</w:t>
            </w:r>
          </w:p>
        </w:tc>
        <w:tc>
          <w:tcPr>
            <w:tcW w:type="dxa" w:w="1296"/>
            <w:shd w:fill="F2F5F9"/>
            <w:tcMar>
              <w:top w:w="80" w:type="dxa"/>
              <w:bottom w:w="80" w:type="dxa"/>
              <w:left w:w="120" w:type="dxa"/>
              <w:right w:w="120" w:type="dxa"/>
            </w:tcMar>
            <w:vAlign w:val="center"/>
          </w:tcPr>
          <w:p>
            <w:pPr>
              <w:spacing w:before="0" w:after="0"/>
            </w:pPr>
            <w:r>
              <w:rPr>
                <w:rFonts w:ascii="Times New Roman" w:hAnsi="Times New Roman"/>
                <w:sz w:val="17"/>
              </w:rPr>
              <w:t>2.15 G</w:t>
            </w:r>
          </w:p>
        </w:tc>
        <w:tc>
          <w:tcPr>
            <w:tcW w:type="dxa" w:w="1440"/>
            <w:shd w:fill="F2F5F9"/>
            <w:tcMar>
              <w:top w:w="80" w:type="dxa"/>
              <w:bottom w:w="80" w:type="dxa"/>
              <w:left w:w="120" w:type="dxa"/>
              <w:right w:w="120" w:type="dxa"/>
            </w:tcMar>
            <w:vAlign w:val="center"/>
          </w:tcPr>
          <w:p>
            <w:pPr>
              <w:spacing w:before="0" w:after="0"/>
            </w:pPr>
            <w:r>
              <w:rPr>
                <w:rFonts w:ascii="Times New Roman" w:hAnsi="Times New Roman"/>
                <w:sz w:val="17"/>
              </w:rPr>
              <w:t>7.9 ms</w:t>
            </w:r>
          </w:p>
        </w:tc>
        <w:tc>
          <w:tcPr>
            <w:tcW w:type="dxa" w:w="1584"/>
            <w:shd w:fill="F2F5F9"/>
            <w:tcMar>
              <w:top w:w="80" w:type="dxa"/>
              <w:bottom w:w="80" w:type="dxa"/>
              <w:left w:w="120" w:type="dxa"/>
              <w:right w:w="120" w:type="dxa"/>
            </w:tcMar>
            <w:vAlign w:val="center"/>
          </w:tcPr>
          <w:p>
            <w:pPr>
              <w:spacing w:before="0" w:after="0"/>
            </w:pPr>
            <w:r>
              <w:rPr>
                <w:rFonts w:ascii="Times New Roman" w:hAnsi="Times New Roman"/>
                <w:sz w:val="17"/>
              </w:rPr>
              <w:t>125.2</w:t>
            </w:r>
          </w:p>
        </w:tc>
        <w:tc>
          <w:tcPr>
            <w:tcW w:type="dxa" w:w="1440"/>
            <w:shd w:fill="F2F5F9"/>
            <w:tcMar>
              <w:top w:w="80" w:type="dxa"/>
              <w:bottom w:w="80" w:type="dxa"/>
              <w:left w:w="120" w:type="dxa"/>
              <w:right w:w="120" w:type="dxa"/>
            </w:tcMar>
            <w:vAlign w:val="center"/>
          </w:tcPr>
          <w:p>
            <w:pPr>
              <w:spacing w:before="0" w:after="0"/>
            </w:pPr>
            <w:r>
              <w:rPr>
                <w:rFonts w:ascii="Times New Roman" w:hAnsi="Times New Roman"/>
                <w:sz w:val="17"/>
              </w:rPr>
              <w:t>61.9 MB</w:t>
            </w:r>
          </w:p>
        </w:tc>
      </w:tr>
    </w:tbl>
    <w:p>
      <w:pPr>
        <w:spacing w:before="60" w:after="200"/>
        <w:jc w:val="center"/>
      </w:pPr>
      <w:r>
        <w:rPr>
          <w:rFonts w:ascii="Times New Roman" w:hAnsi="Times New Roman"/>
          <w:b/>
          <w:sz w:val="17"/>
        </w:rPr>
        <w:t>TABLE III: COMPUTATIONAL EFFICIENCY BENCHMARKS ON NVIDIA RTX 3080 TI</w:t>
      </w:r>
    </w:p>
    <w:p>
      <w:pPr>
        <w:spacing w:before="0" w:after="100" w:line="276" w:lineRule="auto"/>
      </w:pPr>
      <w:r>
        <w:rPr>
          <w:rFonts w:ascii="Times New Roman" w:hAnsi="Times New Roman"/>
          <w:sz w:val="20"/>
        </w:rPr>
        <w:t>With only 5.69M parameters and 2.15 GFLOPs, LRMC processes binaries at over 104 samples per second (9.6 ms per executable), requiring only 106.7 MB of GPU memory. This confirms that LRMC is exceptionally lightweight and well suited for line-rate enterprise mail gateways, cloud sandbox triage pipelines, and endpoint security agents.</w:t>
      </w:r>
    </w:p>
    <w:p>
      <w:pPr>
        <w:keepNext/>
        <w:spacing w:before="280" w:after="80"/>
      </w:pPr>
      <w:r>
        <w:rPr>
          <w:rFonts w:ascii="Times New Roman" w:hAnsi="Times New Roman"/>
          <w:b/>
          <w:color w:val="002060"/>
          <w:sz w:val="22"/>
        </w:rPr>
        <w:t>VIII. CONCLUSION</w:t>
      </w:r>
    </w:p>
    <w:p>
      <w:pPr>
        <w:spacing w:before="0" w:after="100" w:line="276" w:lineRule="auto"/>
      </w:pPr>
      <w:r>
        <w:rPr>
          <w:rFonts w:ascii="Times New Roman" w:hAnsi="Times New Roman"/>
          <w:sz w:val="20"/>
        </w:rPr>
        <w:t>In this work, we presented Learnable-Radius Metric-Contrastive (LRMC) embeddings for zero-day malware detection. By framing the detection of unseen cyber threats as an open-set metric classification problem, LRMC addresses the structural inability of traditional softmax classifiers to express rejection. By coupling a Vision Transformer with multi-task margin-contrastive learning and class-adaptive learnable hypersphere boundaries, LRMC establishes compact, individualized decision regions for every known malware family. Evaluated across 115 experimental runs on the Malimg and 184 GB Microsoft BIG 2015 datasets, LRMC achieved 0.996 AUROC and 0.998 UDR while maintaining high throughput (104 samples/s) and sub-10ms latency. Future research will explore joint static-dynamic multi-modal embeddings and hierarchical prototype tree structures for enterprise threat hunting.</w:t>
      </w:r>
    </w:p>
    <w:p>
      <w:pPr>
        <w:keepNext/>
        <w:spacing w:before="280" w:after="80"/>
      </w:pPr>
      <w:r>
        <w:rPr>
          <w:rFonts w:ascii="Times New Roman" w:hAnsi="Times New Roman"/>
          <w:b/>
          <w:color w:val="002060"/>
          <w:sz w:val="22"/>
        </w:rPr>
        <w:t>REFERENCES</w:t>
      </w:r>
    </w:p>
    <w:p>
      <w:pPr>
        <w:spacing w:before="40" w:after="40" w:line="252" w:lineRule="auto"/>
        <w:ind w:left="360" w:hanging="360"/>
      </w:pPr>
      <w:r>
        <w:rPr>
          <w:rFonts w:ascii="Times New Roman" w:hAnsi="Times New Roman"/>
          <w:sz w:val="17"/>
        </w:rPr>
        <w:t>[1] M. Bilge and T. Dumitras, "Before we knew it: An empirical study of zero-day attacks in the real world," in Proc. ACM SIGSAC Conf. Comput. Commun. Secur., 2012, pp. 833–844.</w:t>
      </w:r>
    </w:p>
    <w:p>
      <w:pPr>
        <w:spacing w:before="40" w:after="40" w:line="252" w:lineRule="auto"/>
        <w:ind w:left="360" w:hanging="360"/>
      </w:pPr>
      <w:r>
        <w:rPr>
          <w:rFonts w:ascii="Times New Roman" w:hAnsi="Times New Roman"/>
          <w:sz w:val="17"/>
        </w:rPr>
        <w:t>[2] E. Gandotra, D. Bansal, and S. Sofat, "Malware analysis and classification: A survey," J. Inf. Secur., vol. 5, no. 2, pp. 56–64, 2014.</w:t>
      </w:r>
    </w:p>
    <w:p>
      <w:pPr>
        <w:spacing w:before="40" w:after="40" w:line="252" w:lineRule="auto"/>
        <w:ind w:left="360" w:hanging="360"/>
      </w:pPr>
      <w:r>
        <w:rPr>
          <w:rFonts w:ascii="Times New Roman" w:hAnsi="Times New Roman"/>
          <w:sz w:val="17"/>
        </w:rPr>
        <w:t>[3] H. Rathore, S. Agarwal, S. K. Sahay, and M. Sewak, "Malware detection using machine learning and deep learning," in Big Data Analytics (LNCS 11297), Springer, 2018, pp. 402–411.</w:t>
      </w:r>
    </w:p>
    <w:p>
      <w:pPr>
        <w:spacing w:before="40" w:after="40" w:line="252" w:lineRule="auto"/>
        <w:ind w:left="360" w:hanging="360"/>
      </w:pPr>
      <w:r>
        <w:rPr>
          <w:rFonts w:ascii="Times New Roman" w:hAnsi="Times New Roman"/>
          <w:sz w:val="17"/>
        </w:rPr>
        <w:t>[4] R. Vinayakumar, K. Soman, and P. Poornachandran, "Deep learning approach for intelligent malware detection," IEEE Access, vol. 7, pp. 29537–29553, 2019.</w:t>
      </w:r>
    </w:p>
    <w:p>
      <w:pPr>
        <w:spacing w:before="40" w:after="40" w:line="252" w:lineRule="auto"/>
        <w:ind w:left="360" w:hanging="360"/>
      </w:pPr>
      <w:r>
        <w:rPr>
          <w:rFonts w:ascii="Times New Roman" w:hAnsi="Times New Roman"/>
          <w:sz w:val="17"/>
        </w:rPr>
        <w:t>[5] A. Bendale and T. E. Boult, "Towards open set deep networks," in Proc. IEEE Conf. Comput. Vis. Pattern Recognit. (CVPR), 2016, pp. 1563–1572.</w:t>
      </w:r>
    </w:p>
    <w:p>
      <w:pPr>
        <w:spacing w:before="40" w:after="40" w:line="252" w:lineRule="auto"/>
        <w:ind w:left="360" w:hanging="360"/>
      </w:pPr>
      <w:r>
        <w:rPr>
          <w:rFonts w:ascii="Times New Roman" w:hAnsi="Times New Roman"/>
          <w:sz w:val="17"/>
        </w:rPr>
        <w:t>[6] D. M. J. Tax and R. P. W. Duin, "Support vector data description," Mach. Learn., vol. 54, no. 1, pp. 45–66, 2004.</w:t>
      </w:r>
    </w:p>
    <w:p>
      <w:pPr>
        <w:spacing w:before="40" w:after="40" w:line="252" w:lineRule="auto"/>
        <w:ind w:left="360" w:hanging="360"/>
      </w:pPr>
      <w:r>
        <w:rPr>
          <w:rFonts w:ascii="Times New Roman" w:hAnsi="Times New Roman"/>
          <w:sz w:val="17"/>
        </w:rPr>
        <w:t>[7] L. Ruff et al., "Deep one-class classification," in Proc. 35th Int. Conf. Mach. Learn. (ICML), 2018, pp. 4393–4402.</w:t>
      </w:r>
    </w:p>
    <w:p>
      <w:pPr>
        <w:spacing w:before="40" w:after="40" w:line="252" w:lineRule="auto"/>
        <w:ind w:left="360" w:hanging="360"/>
      </w:pPr>
      <w:r>
        <w:rPr>
          <w:rFonts w:ascii="Times New Roman" w:hAnsi="Times New Roman"/>
          <w:sz w:val="17"/>
        </w:rPr>
        <w:t>[8] A. Dosovitskiy et al., "An image is worth 16x16 words: Transformers for image recognition at scale," in Int. Conf. Learn. Represent. (ICLR), 2021.</w:t>
      </w:r>
    </w:p>
    <w:p>
      <w:pPr>
        <w:spacing w:before="40" w:after="40" w:line="252" w:lineRule="auto"/>
        <w:ind w:left="360" w:hanging="360"/>
      </w:pPr>
      <w:r>
        <w:rPr>
          <w:rFonts w:ascii="Times New Roman" w:hAnsi="Times New Roman"/>
          <w:sz w:val="17"/>
        </w:rPr>
        <w:t>[9] D. Gibert, C. Mateu, and J. Planes, "The rise of machine learning for detection and classification of malware: Research developments, trends and challenges," J. Netw. Comput. Appl., vol. 153, p. 102526, 2020.</w:t>
      </w:r>
    </w:p>
    <w:p>
      <w:pPr>
        <w:spacing w:before="40" w:after="40" w:line="252" w:lineRule="auto"/>
        <w:ind w:left="360" w:hanging="360"/>
      </w:pPr>
      <w:r>
        <w:rPr>
          <w:rFonts w:ascii="Times New Roman" w:hAnsi="Times New Roman"/>
          <w:sz w:val="17"/>
        </w:rPr>
        <w:t>[10] L. Nataraj, S. Karthikeyan, G. Jacob, and B. S. Manjunath, "Malware images: Visualization and automatic classification," in Proc. 8th Int. Symp. Vis. Cyber Secur., 2011, pp. 1–7.</w:t>
      </w:r>
    </w:p>
    <w:p>
      <w:pPr>
        <w:spacing w:before="40" w:after="40" w:line="252" w:lineRule="auto"/>
        <w:ind w:left="360" w:hanging="360"/>
      </w:pPr>
      <w:r>
        <w:rPr>
          <w:rFonts w:ascii="Times New Roman" w:hAnsi="Times New Roman"/>
          <w:sz w:val="17"/>
        </w:rPr>
        <w:t>[11] M. Kalash, M. Rochan, N. Mohammed, N. D. B. Bruce, Y. Wang, and F. Iqbal, "Malware classification with deep convolutional neural networks," in Proc. 9th IFIP Int. Conf. New Technol., Mobility Secur., 2018.</w:t>
      </w:r>
    </w:p>
    <w:p>
      <w:pPr>
        <w:spacing w:before="40" w:after="40" w:line="252" w:lineRule="auto"/>
        <w:ind w:left="360" w:hanging="360"/>
      </w:pPr>
      <w:r>
        <w:rPr>
          <w:rFonts w:ascii="Times New Roman" w:hAnsi="Times New Roman"/>
          <w:sz w:val="17"/>
        </w:rPr>
        <w:t>[12] N. Bhodia, P. Prajapati, F. Di Troia, and M. Stamp, "Transfer learning for image-based malware classification," in Proc. Int. Conf. Inf. Syst. Secur. Privacy, 2019.</w:t>
      </w:r>
    </w:p>
    <w:p>
      <w:pPr>
        <w:spacing w:before="40" w:after="40" w:line="252" w:lineRule="auto"/>
        <w:ind w:left="360" w:hanging="360"/>
      </w:pPr>
      <w:r>
        <w:rPr>
          <w:rFonts w:ascii="Times New Roman" w:hAnsi="Times New Roman"/>
          <w:sz w:val="17"/>
        </w:rPr>
        <w:t>[13] R. Hadsell, S. Chopra, and Y. LeCun, "Dimensionality reduction by learning an invariant mapping," in Proc. IEEE Comput. Soc. Conf. Comput. Vis. Pattern Recognit. (CVPR), 2006, pp. 1735–1742.</w:t>
      </w:r>
    </w:p>
    <w:p>
      <w:pPr>
        <w:spacing w:before="40" w:after="40" w:line="252" w:lineRule="auto"/>
        <w:ind w:left="360" w:hanging="360"/>
      </w:pPr>
      <w:r>
        <w:rPr>
          <w:rFonts w:ascii="Times New Roman" w:hAnsi="Times New Roman"/>
          <w:sz w:val="17"/>
        </w:rPr>
        <w:t>[14] F. Schroff, D. Kalenichenko, and J. Philbin, "FaceNet: A unified embedding for face recognition and clustering," in Proc. IEEE Conf. Comput. Vis. Pattern Recognit. (CVPR), 2015, pp. 815–823.</w:t>
      </w:r>
    </w:p>
    <w:p>
      <w:pPr>
        <w:spacing w:before="40" w:after="40" w:line="252" w:lineRule="auto"/>
        <w:ind w:left="360" w:hanging="360"/>
      </w:pPr>
      <w:r>
        <w:rPr>
          <w:rFonts w:ascii="Times New Roman" w:hAnsi="Times New Roman"/>
          <w:sz w:val="17"/>
        </w:rPr>
        <w:t>[15] P. Khosla et al., "Supervised contrastive learning," in Adv. Neural Inf. Process. Syst. (NeurIPS), vol. 33, 2020, pp. 18661–18673.</w:t>
      </w:r>
    </w:p>
    <w:p>
      <w:pPr>
        <w:spacing w:before="40" w:after="40" w:line="252" w:lineRule="auto"/>
        <w:ind w:left="360" w:hanging="360"/>
      </w:pPr>
      <w:r>
        <w:rPr>
          <w:rFonts w:ascii="Times New Roman" w:hAnsi="Times New Roman"/>
          <w:sz w:val="17"/>
        </w:rPr>
        <w:t>[16] M. S. Nizami et al., "A hybrid zero-day malware detection framework using multi-stage contrastive learning," IEEE Trans. Dependable Secur. Comput., 2024.</w:t>
      </w:r>
    </w:p>
    <w:p>
      <w:pPr>
        <w:spacing w:before="40" w:after="40" w:line="252" w:lineRule="auto"/>
        <w:ind w:left="360" w:hanging="360"/>
      </w:pPr>
      <w:r>
        <w:rPr>
          <w:rFonts w:ascii="Times New Roman" w:hAnsi="Times New Roman"/>
          <w:sz w:val="17"/>
        </w:rPr>
        <w:t>[17] J. Carter et al., "contrastBERT: Transformer-based behavioral anomaly detection for advanced malware," in Proc. USENIX Secur. Symp., 2025.</w:t>
      </w:r>
    </w:p>
    <w:p>
      <w:pPr>
        <w:spacing w:before="40" w:after="40" w:line="252" w:lineRule="auto"/>
        <w:ind w:left="360" w:hanging="360"/>
      </w:pPr>
      <w:r>
        <w:rPr>
          <w:rFonts w:ascii="Times New Roman" w:hAnsi="Times New Roman"/>
          <w:sz w:val="17"/>
        </w:rPr>
        <w:t>[18] T. Wilkie et al., "Open-set network intrusion classification using hyperspherical metric margins," IEEE Trans. Inf. Forensics Secur., 2026.</w:t>
      </w:r>
    </w:p>
    <w:p>
      <w:pPr>
        <w:spacing w:before="40" w:after="40" w:line="252" w:lineRule="auto"/>
        <w:ind w:left="360" w:hanging="360"/>
      </w:pPr>
      <w:r>
        <w:rPr>
          <w:rFonts w:ascii="Times New Roman" w:hAnsi="Times New Roman"/>
          <w:sz w:val="17"/>
        </w:rPr>
        <w:t>[19] W. Liu et al., "Energy-based out-of-distribution detection," in Adv. Neural Inf. Process. Syst. (NeurIPS), 2020.</w:t>
      </w:r>
    </w:p>
    <w:p>
      <w:pPr>
        <w:spacing w:before="40" w:after="40" w:line="252" w:lineRule="auto"/>
        <w:ind w:left="360" w:hanging="360"/>
      </w:pPr>
      <w:r>
        <w:rPr>
          <w:rFonts w:ascii="Times New Roman" w:hAnsi="Times New Roman"/>
          <w:sz w:val="17"/>
        </w:rPr>
        <w:t>[20] B. Schölkopf et al., "Estimating the support of a high-dimensional distribution," Neural Comput., vol. 13, no. 7, pp. 1443–1471, 2001.</w:t>
      </w:r>
    </w:p>
    <w:p>
      <w:pPr>
        <w:spacing w:before="40" w:after="40" w:line="252" w:lineRule="auto"/>
        <w:ind w:left="360" w:hanging="360"/>
      </w:pPr>
      <w:r>
        <w:rPr>
          <w:rFonts w:ascii="Times New Roman" w:hAnsi="Times New Roman"/>
          <w:sz w:val="17"/>
        </w:rPr>
        <w:t>[21] K. Lee, K. Lee, H. Lee, and J. Shin, "A simple unified framework for detecting out-of-distribution samples and adversarial attacks," in Adv. Neural Inf. Process. Syst. (NeurIPS), 2018, pp. 7167–7177.</w:t>
      </w:r>
    </w:p>
    <w:p>
      <w:pPr>
        <w:spacing w:before="40" w:after="40" w:line="252" w:lineRule="auto"/>
        <w:ind w:left="360" w:hanging="360"/>
      </w:pPr>
      <w:r>
        <w:rPr>
          <w:rFonts w:ascii="Times New Roman" w:hAnsi="Times New Roman"/>
          <w:sz w:val="17"/>
        </w:rPr>
        <w:t>[22] Microsoft, "Microsoft malware classification challenge (BIG 2015)," Kaggle, 2015. [Online]. Available: https://www.kaggle.com/c/malware-classification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