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Rule="auto"/>
        <w:rPr>
          <w:sz w:val="26"/>
          <w:szCs w:val="26"/>
        </w:rPr>
      </w:pPr>
      <w:bookmarkStart w:colFirst="0" w:colLast="0" w:name="_9t358rwvc4q7" w:id="0"/>
      <w:bookmarkEnd w:id="0"/>
      <w:r w:rsidDel="00000000" w:rsidR="00000000" w:rsidRPr="00000000">
        <w:rPr>
          <w:sz w:val="26"/>
          <w:szCs w:val="26"/>
          <w:rtl w:val="0"/>
        </w:rPr>
        <w:t xml:space="preserve">3. Methodology</w:t>
      </w:r>
    </w:p>
    <w:p w:rsidR="00000000" w:rsidDel="00000000" w:rsidP="00000000" w:rsidRDefault="00000000" w:rsidRPr="00000000" w14:paraId="00000002">
      <w:pPr>
        <w:pStyle w:val="Heading4"/>
        <w:spacing w:after="40" w:before="240" w:lineRule="auto"/>
        <w:rPr>
          <w:sz w:val="22"/>
          <w:szCs w:val="22"/>
        </w:rPr>
      </w:pPr>
      <w:bookmarkStart w:colFirst="0" w:colLast="0" w:name="_3cgihxlabg68" w:id="1"/>
      <w:bookmarkEnd w:id="1"/>
      <w:r w:rsidDel="00000000" w:rsidR="00000000" w:rsidRPr="00000000">
        <w:rPr>
          <w:sz w:val="22"/>
          <w:szCs w:val="22"/>
          <w:rtl w:val="0"/>
        </w:rPr>
        <w:t xml:space="preserve">3.1. System Architecture and Hardware-Constrained Design</w:t>
      </w:r>
    </w:p>
    <w:p w:rsidR="00000000" w:rsidDel="00000000" w:rsidP="00000000" w:rsidRDefault="00000000" w:rsidRPr="00000000" w14:paraId="00000003">
      <w:pPr>
        <w:spacing w:after="240" w:before="240" w:lineRule="auto"/>
        <w:rPr/>
      </w:pPr>
      <w:r w:rsidDel="00000000" w:rsidR="00000000" w:rsidRPr="00000000">
        <w:rPr>
          <w:rtl w:val="0"/>
        </w:rPr>
        <w:t xml:space="preserve">The AquaAssist architecture is engineered as a zero-compute, offline-first Retrieval-Augmented Generation (RAG) system, explicitly designed for deployment in rural aquaculture environments lacking reliable internet connectivity and high-performance computing resources. The user interface and telemetry input layer are built and served using the Streamlit framework, providing a lightweight, interactive frontend. To validate operational feasibility on constrained edge devices, the system enforces a strict CPU-bound inference protocol. By programmatically disabling GPU and Apple Silicon (MPS) acceleration during runtime, the architecture successfully bypasses VRAM deadlocks associated with large computation graphs and accurately simulates the processing environment of standard field hardware. Furthermore, to guarantee true offline robustness, strict </w:t>
      </w:r>
      <w:r w:rsidDel="00000000" w:rsidR="00000000" w:rsidRPr="00000000">
        <w:rPr>
          <w:rFonts w:ascii="Roboto Mono" w:cs="Roboto Mono" w:eastAsia="Roboto Mono" w:hAnsi="Roboto Mono"/>
          <w:color w:val="188038"/>
          <w:rtl w:val="0"/>
        </w:rPr>
        <w:t xml:space="preserve">urllib</w:t>
      </w:r>
      <w:r w:rsidDel="00000000" w:rsidR="00000000" w:rsidRPr="00000000">
        <w:rPr>
          <w:rtl w:val="0"/>
        </w:rPr>
        <w:t xml:space="preserve"> network timeouts were implemented across all initialization functions, preventing infinite application hangs when the application attempts to reach external servers in internet-deprived zones.</w:t>
      </w:r>
    </w:p>
    <w:p w:rsidR="00000000" w:rsidDel="00000000" w:rsidP="00000000" w:rsidRDefault="00000000" w:rsidRPr="00000000" w14:paraId="00000004">
      <w:pPr>
        <w:pStyle w:val="Heading4"/>
        <w:spacing w:after="40" w:before="240" w:lineRule="auto"/>
        <w:rPr>
          <w:sz w:val="22"/>
          <w:szCs w:val="22"/>
        </w:rPr>
      </w:pPr>
      <w:bookmarkStart w:colFirst="0" w:colLast="0" w:name="_edei5oqcyjyb" w:id="2"/>
      <w:bookmarkEnd w:id="2"/>
      <w:r w:rsidDel="00000000" w:rsidR="00000000" w:rsidRPr="00000000">
        <w:rPr>
          <w:sz w:val="22"/>
          <w:szCs w:val="22"/>
          <w:rtl w:val="0"/>
        </w:rPr>
        <w:t xml:space="preserve">3.2. "Shift-Left" Data Ingestion and Compilation</w:t>
      </w:r>
    </w:p>
    <w:p w:rsidR="00000000" w:rsidDel="00000000" w:rsidP="00000000" w:rsidRDefault="00000000" w:rsidRPr="00000000" w14:paraId="00000005">
      <w:pPr>
        <w:spacing w:after="240" w:before="240" w:lineRule="auto"/>
        <w:rPr/>
      </w:pPr>
      <w:r w:rsidDel="00000000" w:rsidR="00000000" w:rsidRPr="00000000">
        <w:rPr>
          <w:rtl w:val="0"/>
        </w:rPr>
        <w:t xml:space="preserve">To eliminate the computational overhead of running Large Language Models (LLMs) dynamically at the edge, the system employs a "shift-left" RAG strategy. Complex reasoning and synthesis are offloaded to a pre-deployment compile phase. A local 1.5-billion parameter generative model (</w:t>
      </w:r>
      <w:r w:rsidDel="00000000" w:rsidR="00000000" w:rsidRPr="00000000">
        <w:rPr>
          <w:rFonts w:ascii="Roboto Mono" w:cs="Roboto Mono" w:eastAsia="Roboto Mono" w:hAnsi="Roboto Mono"/>
          <w:color w:val="188038"/>
          <w:rtl w:val="0"/>
        </w:rPr>
        <w:t xml:space="preserve">qwen2.5:1.5b</w:t>
      </w:r>
      <w:r w:rsidDel="00000000" w:rsidR="00000000" w:rsidRPr="00000000">
        <w:rPr>
          <w:rtl w:val="0"/>
        </w:rPr>
        <w:t xml:space="preserve">) was utilized to ingest academic aquaculture literature and synthesize standardized, deterministic response blocks comprising a primary diagnostic warning and sequential remediation steps. These structured chunks are embedded and stored in an offline ChromaDB vector database, effectively transforming generative generation into a low-latency semantic search problem during runtime.</w:t>
      </w:r>
    </w:p>
    <w:p w:rsidR="00000000" w:rsidDel="00000000" w:rsidP="00000000" w:rsidRDefault="00000000" w:rsidRPr="00000000" w14:paraId="00000006">
      <w:pPr>
        <w:pStyle w:val="Heading4"/>
        <w:spacing w:after="40" w:before="240" w:lineRule="auto"/>
        <w:rPr>
          <w:sz w:val="22"/>
          <w:szCs w:val="22"/>
        </w:rPr>
      </w:pPr>
      <w:bookmarkStart w:colFirst="0" w:colLast="0" w:name="_weptajkw7qqy" w:id="3"/>
      <w:bookmarkEnd w:id="3"/>
      <w:r w:rsidDel="00000000" w:rsidR="00000000" w:rsidRPr="00000000">
        <w:rPr>
          <w:sz w:val="22"/>
          <w:szCs w:val="22"/>
          <w:rtl w:val="0"/>
        </w:rPr>
        <w:t xml:space="preserve">3.3. Multi-Vector Retrieval Engine</w:t>
      </w:r>
    </w:p>
    <w:p w:rsidR="00000000" w:rsidDel="00000000" w:rsidP="00000000" w:rsidRDefault="00000000" w:rsidRPr="00000000" w14:paraId="00000007">
      <w:pPr>
        <w:spacing w:after="240" w:before="240" w:lineRule="auto"/>
        <w:rPr/>
      </w:pPr>
      <w:r w:rsidDel="00000000" w:rsidR="00000000" w:rsidRPr="00000000">
        <w:rPr>
          <w:rtl w:val="0"/>
        </w:rPr>
        <w:t xml:space="preserve">The semantic search backbone relies on the </w:t>
      </w:r>
      <w:r w:rsidDel="00000000" w:rsidR="00000000" w:rsidRPr="00000000">
        <w:rPr>
          <w:rFonts w:ascii="Roboto Mono" w:cs="Roboto Mono" w:eastAsia="Roboto Mono" w:hAnsi="Roboto Mono"/>
          <w:color w:val="188038"/>
          <w:rtl w:val="0"/>
        </w:rPr>
        <w:t xml:space="preserve">BAAI/bge-m3</w:t>
      </w:r>
      <w:r w:rsidDel="00000000" w:rsidR="00000000" w:rsidRPr="00000000">
        <w:rPr>
          <w:rtl w:val="0"/>
        </w:rPr>
        <w:t xml:space="preserve"> embedding model, utilizing a 1024-dimensional vector space. This model was selected for its native multi-functional retrieval capabilities, executing three simultaneous search paradigms without requiring asymmetric string manipulation: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Dense Retrieval:</w:t>
      </w:r>
      <w:r w:rsidDel="00000000" w:rsidR="00000000" w:rsidRPr="00000000">
        <w:rPr>
          <w:rtl w:val="0"/>
        </w:rPr>
        <w:t xml:space="preserve"> Maps the holistic semantic intent of both interrogative queries and declarative symptom descriptions.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Sparse (Lexical) Retrieval:</w:t>
      </w:r>
      <w:r w:rsidDel="00000000" w:rsidR="00000000" w:rsidRPr="00000000">
        <w:rPr>
          <w:rtl w:val="0"/>
        </w:rPr>
        <w:t xml:space="preserve"> Functions analogously to BM25, ensuring exact-match prioritization for critical aquaculture entities (e.g., "shrimp", "pH 6.1").</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ColBERT Late-Interaction:</w:t>
      </w:r>
      <w:r w:rsidDel="00000000" w:rsidR="00000000" w:rsidRPr="00000000">
        <w:rPr>
          <w:rtl w:val="0"/>
        </w:rPr>
        <w:t xml:space="preserve"> Performs token-level alignment to link multi-symptomatic user inputs directly to highly specific clinical warnings within the database.</w:t>
      </w:r>
    </w:p>
    <w:p w:rsidR="00000000" w:rsidDel="00000000" w:rsidP="00000000" w:rsidRDefault="00000000" w:rsidRPr="00000000" w14:paraId="0000000B">
      <w:pPr>
        <w:pStyle w:val="Heading4"/>
        <w:spacing w:after="40" w:before="240" w:lineRule="auto"/>
        <w:rPr>
          <w:sz w:val="22"/>
          <w:szCs w:val="22"/>
        </w:rPr>
      </w:pPr>
      <w:bookmarkStart w:colFirst="0" w:colLast="0" w:name="_35whutbw7g55" w:id="4"/>
      <w:bookmarkEnd w:id="4"/>
      <w:r w:rsidDel="00000000" w:rsidR="00000000" w:rsidRPr="00000000">
        <w:rPr>
          <w:sz w:val="22"/>
          <w:szCs w:val="22"/>
          <w:rtl w:val="0"/>
        </w:rPr>
        <w:t xml:space="preserve">3.4. Dual-Track Intent Routing Algorithm</w:t>
      </w:r>
    </w:p>
    <w:p w:rsidR="00000000" w:rsidDel="00000000" w:rsidP="00000000" w:rsidRDefault="00000000" w:rsidRPr="00000000" w14:paraId="0000000C">
      <w:pPr>
        <w:spacing w:after="240" w:before="240" w:lineRule="auto"/>
        <w:rPr/>
      </w:pPr>
      <w:r w:rsidDel="00000000" w:rsidR="00000000" w:rsidRPr="00000000">
        <w:rPr>
          <w:rtl w:val="0"/>
        </w:rPr>
        <w:t xml:space="preserve">A core contribution of this architecture is the Dual-Track Router, which programmatically bifurcates incoming telemetry and queries to prevent mathematical failures in natural language inference models when processing interrogatives.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Informational Track (Pure RAG):</w:t>
      </w:r>
      <w:r w:rsidDel="00000000" w:rsidR="00000000" w:rsidRPr="00000000">
        <w:rPr>
          <w:rtl w:val="0"/>
        </w:rPr>
        <w:t xml:space="preserve"> Input queries containing interrogative keywords (e.g., "how," "methods") are instantly classified as requests for knowledge. The system applies a distance threshold validation (score &lt; 0.65) and directly retrieves the pre-compiled remediation steps, bypassing the NLI engine entirely.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Diagnostic Track (NLI Verified):</w:t>
      </w:r>
      <w:r w:rsidDel="00000000" w:rsidR="00000000" w:rsidRPr="00000000">
        <w:rPr>
          <w:rtl w:val="0"/>
        </w:rPr>
        <w:t xml:space="preserve"> Declarative inputs (e.g., symptom observations, sensor telemetry) are routed through a fine-tuned DeBERTa CrossEncoder. The model strictly evaluates the declarative pairs (Farmer Premise \rightarrow Database Hypothesis) to generate mathematically rigorous entailment, neutral, and contradiction probabilities.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Fallback Routing (CLARIFY State):</w:t>
      </w:r>
      <w:r w:rsidDel="00000000" w:rsidR="00000000" w:rsidRPr="00000000">
        <w:rPr>
          <w:rtl w:val="0"/>
        </w:rPr>
        <w:t xml:space="preserve"> If the retrieval engine fails to identify a high-confidence semantic match for the observed telemetry, the system safely aborts prediction and routes to a "CLARIFY" state. This gracefully prompts the user to conduct baseline water testing (e.g., providing current Dissolved Oxygen and pH levels) to establish sufficient context for a safe diagnosis.</w:t>
      </w:r>
    </w:p>
    <w:p w:rsidR="00000000" w:rsidDel="00000000" w:rsidP="00000000" w:rsidRDefault="00000000" w:rsidRPr="00000000" w14:paraId="00000010">
      <w:pPr>
        <w:pStyle w:val="Heading4"/>
        <w:spacing w:after="40" w:before="240" w:lineRule="auto"/>
        <w:rPr>
          <w:sz w:val="22"/>
          <w:szCs w:val="22"/>
        </w:rPr>
      </w:pPr>
      <w:bookmarkStart w:colFirst="0" w:colLast="0" w:name="_rnf4lsw82urk" w:id="5"/>
      <w:bookmarkEnd w:id="5"/>
      <w:r w:rsidDel="00000000" w:rsidR="00000000" w:rsidRPr="00000000">
        <w:rPr>
          <w:sz w:val="22"/>
          <w:szCs w:val="22"/>
          <w:rtl w:val="0"/>
        </w:rPr>
        <w:t xml:space="preserve">3.5. Deterministic Safety Guardrails</w:t>
      </w:r>
    </w:p>
    <w:p w:rsidR="00000000" w:rsidDel="00000000" w:rsidP="00000000" w:rsidRDefault="00000000" w:rsidRPr="00000000" w14:paraId="00000011">
      <w:pPr>
        <w:spacing w:after="240" w:before="240" w:lineRule="auto"/>
        <w:rPr/>
      </w:pPr>
      <w:r w:rsidDel="00000000" w:rsidR="00000000" w:rsidRPr="00000000">
        <w:rPr>
          <w:rtl w:val="0"/>
        </w:rPr>
        <w:t xml:space="preserve">To ensure agricultural safety and prevent hallucinatory or harmful remediations, the diagnostic engine implements a layered deterministic filtering pipeline: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Conflict Gate:</w:t>
      </w:r>
      <w:r w:rsidDel="00000000" w:rsidR="00000000" w:rsidRPr="00000000">
        <w:rPr>
          <w:rtl w:val="0"/>
        </w:rPr>
        <w:t xml:space="preserve"> A pre-retrieval regular expression (Regex) parser intercepts the query to extract parameter values. If multiple, contradictory measurements for the same parameter (e.g., Dissolved Oxygen readings of 2.5 mg/L and 6.0 mg/L) are detected, the system aborts retrieval and issues an immediate recalibration warning.</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Species Alignment Gate:</w:t>
      </w:r>
      <w:r w:rsidDel="00000000" w:rsidR="00000000" w:rsidRPr="00000000">
        <w:rPr>
          <w:rtl w:val="0"/>
        </w:rPr>
        <w:t xml:space="preserve"> A strict lexical filter drops retrieved database chunks that exhibit a species mismatch (e.g., explicitly filtering out fish-specific hypoxia chunks when the user query isolates shrimp), preventing fatal cross-species treatment recommendations.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Confidence Bypass &amp; Hard Contradiction:</w:t>
      </w:r>
      <w:r w:rsidDel="00000000" w:rsidR="00000000" w:rsidRPr="00000000">
        <w:rPr>
          <w:rtl w:val="0"/>
        </w:rPr>
        <w:t xml:space="preserve"> If the BGE-M3 retrieval distance is exceptionally strong (&lt; 0.40), the system bypasses NLI contradiction paradoxes to immediately return critical emergency remedies. Conversely, if the DeBERTa model detects a contradiction probability exceeding 0.90 for a suggested action, the system triggers an absolute </w:t>
      </w:r>
      <w:r w:rsidDel="00000000" w:rsidR="00000000" w:rsidRPr="00000000">
        <w:rPr>
          <w:rFonts w:ascii="Roboto Mono" w:cs="Roboto Mono" w:eastAsia="Roboto Mono" w:hAnsi="Roboto Mono"/>
          <w:color w:val="188038"/>
          <w:rtl w:val="0"/>
        </w:rPr>
        <w:t xml:space="preserve">ABSTAIN</w:t>
      </w:r>
      <w:r w:rsidDel="00000000" w:rsidR="00000000" w:rsidRPr="00000000">
        <w:rPr>
          <w:rtl w:val="0"/>
        </w:rPr>
        <w:t xml:space="preserve"> routing protocol to prevent hazardous agricultural practices.</w:t>
      </w:r>
    </w:p>
    <w:p w:rsidR="00000000" w:rsidDel="00000000" w:rsidP="00000000" w:rsidRDefault="00000000" w:rsidRPr="00000000" w14:paraId="00000015">
      <w:pPr>
        <w:pStyle w:val="Heading4"/>
        <w:spacing w:after="40" w:before="240" w:lineRule="auto"/>
        <w:rPr>
          <w:sz w:val="22"/>
          <w:szCs w:val="22"/>
        </w:rPr>
      </w:pPr>
      <w:bookmarkStart w:colFirst="0" w:colLast="0" w:name="_ix4r3oh9ae1" w:id="6"/>
      <w:bookmarkEnd w:id="6"/>
      <w:r w:rsidDel="00000000" w:rsidR="00000000" w:rsidRPr="00000000">
        <w:rPr>
          <w:sz w:val="22"/>
          <w:szCs w:val="22"/>
          <w:rtl w:val="0"/>
        </w:rPr>
        <w:t xml:space="preserve">3.6. Offline Multilingual Localization</w:t>
      </w:r>
    </w:p>
    <w:p w:rsidR="00000000" w:rsidDel="00000000" w:rsidP="00000000" w:rsidRDefault="00000000" w:rsidRPr="00000000" w14:paraId="00000016">
      <w:pPr>
        <w:spacing w:after="240" w:before="240" w:lineRule="auto"/>
        <w:rPr/>
      </w:pPr>
      <w:r w:rsidDel="00000000" w:rsidR="00000000" w:rsidRPr="00000000">
        <w:rPr>
          <w:rtl w:val="0"/>
        </w:rPr>
        <w:t xml:space="preserve">To maximize accessibility for vernacular users, the system integrates a localized Neural Machine Translation (NMT) pipeline utilizing the NLLB-200 architecture. The pipeline dynamically maps the English-based retrieval operations and English-synthesized database content into fluid Telugu text. Strict repetition penalties and deterministic token limits were configured within the translation loop to completely eradicate recursive translation hallucinations, ensuring stable, native-language UI rendering on the edge.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2. Related Work</w:t>
      </w:r>
    </w:p>
    <w:p w:rsidR="00000000" w:rsidDel="00000000" w:rsidP="00000000" w:rsidRDefault="00000000" w:rsidRPr="00000000" w14:paraId="0000001A">
      <w:pPr>
        <w:spacing w:after="240" w:before="240" w:lineRule="auto"/>
        <w:rPr/>
      </w:pPr>
      <w:r w:rsidDel="00000000" w:rsidR="00000000" w:rsidRPr="00000000">
        <w:rPr>
          <w:rtl w:val="0"/>
        </w:rPr>
        <w:t xml:space="preserve">2.1. Artificial Intelligence and IoT in Aquaculture</w:t>
      </w:r>
    </w:p>
    <w:p w:rsidR="00000000" w:rsidDel="00000000" w:rsidP="00000000" w:rsidRDefault="00000000" w:rsidRPr="00000000" w14:paraId="0000001B">
      <w:pPr>
        <w:spacing w:after="240" w:before="240" w:lineRule="auto"/>
        <w:rPr/>
      </w:pPr>
      <w:r w:rsidDel="00000000" w:rsidR="00000000" w:rsidRPr="00000000">
        <w:rPr>
          <w:rtl w:val="0"/>
        </w:rPr>
        <w:t xml:space="preserve">The integration of Artificial Intelligence (AI) and Internet of Things (IoT) in aquaculture has traditionally focused on continuous water quality monitoring and predictive analytics. Existing frameworks predominantly utilize sensor networks to track parameters such as Dissolved Oxygen (DO), pH, and temperature, applying conventional machine learning models (e.g., Random Forests, Support Vector Machines) to predict mortality events or disease outbreaks [Citation]. While effective at anomaly detection, these systems present a critical usability gap: they output raw statistical probabilities or dashboard metrics rather than actionable, localized remediation strategies. Furthermore, the reliance on cloud-based processing renders these solutions brittle in rural environments with intermittent internet connectivity. AquaAssist addresses this gap by transforming raw telemetry into deterministic, language-based diagnostic advice operating entirely offline.</w:t>
      </w:r>
    </w:p>
    <w:p w:rsidR="00000000" w:rsidDel="00000000" w:rsidP="00000000" w:rsidRDefault="00000000" w:rsidRPr="00000000" w14:paraId="0000001C">
      <w:pPr>
        <w:spacing w:after="240" w:before="240" w:lineRule="auto"/>
        <w:rPr/>
      </w:pPr>
      <w:r w:rsidDel="00000000" w:rsidR="00000000" w:rsidRPr="00000000">
        <w:rPr>
          <w:rtl w:val="0"/>
        </w:rPr>
        <w:t xml:space="preserve">2.2. Retrieval-Augmented Generation (RAG) in Constrained Environments</w:t>
      </w:r>
    </w:p>
    <w:p w:rsidR="00000000" w:rsidDel="00000000" w:rsidP="00000000" w:rsidRDefault="00000000" w:rsidRPr="00000000" w14:paraId="0000001D">
      <w:pPr>
        <w:spacing w:after="240" w:before="240" w:lineRule="auto"/>
        <w:rPr/>
      </w:pPr>
      <w:r w:rsidDel="00000000" w:rsidR="00000000" w:rsidRPr="00000000">
        <w:rPr>
          <w:rtl w:val="0"/>
        </w:rPr>
        <w:t xml:space="preserve">Retrieval-Augmented Generation (RAG) has emerged as a dominant architecture for mitigating knowledge cutoffs in Large Language Models (LLMs) by grounding generation in external, domain-specific databases [Citation]. However, standard RAG pipelines are computationally prohibitive for edge devices, requiring API calls to proprietary models or high-VRAM GPU clusters to run locally. Recent literature emphasizes the transition toward "Edge AI" and Small Language Models (SLMs) to decentralize inference [Citation]. AquaAssist extends this paradigm through a "shift-left" RAG methodology. Rather than running a resource-intensive generative LLM during runtime, the proposed architecture shifts the generative synthesis to a pre-deployment compile phase utilizing a 1.5-billion parameter model. At runtime, the system relies exclusively on a highly optimized, multi-vector semantic retrieval engine (BAAI/bge-m3), reducing computational overhead to CPU-bound levels.</w:t>
      </w:r>
    </w:p>
    <w:p w:rsidR="00000000" w:rsidDel="00000000" w:rsidP="00000000" w:rsidRDefault="00000000" w:rsidRPr="00000000" w14:paraId="0000001E">
      <w:pPr>
        <w:spacing w:after="240" w:before="240" w:lineRule="auto"/>
        <w:rPr/>
      </w:pPr>
      <w:r w:rsidDel="00000000" w:rsidR="00000000" w:rsidRPr="00000000">
        <w:rPr>
          <w:rtl w:val="0"/>
        </w:rPr>
        <w:t xml:space="preserve">2.3. Hallucination Mitigation and Natural Language Inference (NLI)</w:t>
      </w:r>
    </w:p>
    <w:p w:rsidR="00000000" w:rsidDel="00000000" w:rsidP="00000000" w:rsidRDefault="00000000" w:rsidRPr="00000000" w14:paraId="0000001F">
      <w:pPr>
        <w:spacing w:after="240" w:before="240" w:lineRule="auto"/>
        <w:rPr/>
      </w:pPr>
      <w:r w:rsidDel="00000000" w:rsidR="00000000" w:rsidRPr="00000000">
        <w:rPr>
          <w:rtl w:val="0"/>
        </w:rPr>
        <w:t xml:space="preserve">A primary bottleneck in deploying conversational AI in high-stakes agricultural domains is the propensity for LLMs to confidently generate hallucinatory or contradictory advice, which can lead to fatal crop or livestock mismanagement [Citation]. While current mitigation strategies often rely on prompt engineering or computationally heavy self-reflection loops, these methods are non-deterministic and unsuitable for safety-critical edge applications. Alternatively, Natural Language Inference (NLI) utilizes CrossEncoders to strictly evaluate textual entailment between a premise and a hypothesis [Citation]. AquaAssist integrates this approach as a deterministic safety gate. By utilizing a fine-tuned DeBERTa model to calculate exact contradiction probabilities, the system's Dual-Track Router actively intercepts and blocks hazardous interventions, ensuring agricultural safety without relying on generative reflection.</w:t>
      </w:r>
    </w:p>
    <w:p w:rsidR="00000000" w:rsidDel="00000000" w:rsidP="00000000" w:rsidRDefault="00000000" w:rsidRPr="00000000" w14:paraId="00000020">
      <w:pPr>
        <w:spacing w:after="240" w:before="240" w:lineRule="auto"/>
        <w:rPr/>
      </w:pPr>
      <w:r w:rsidDel="00000000" w:rsidR="00000000" w:rsidRPr="00000000">
        <w:rPr>
          <w:rtl w:val="0"/>
        </w:rPr>
        <w:t xml:space="preserve">2.4. Vernacular Accessibility and Neural Machine Translation (NMT)</w:t>
      </w:r>
    </w:p>
    <w:p w:rsidR="00000000" w:rsidDel="00000000" w:rsidP="00000000" w:rsidRDefault="00000000" w:rsidRPr="00000000" w14:paraId="00000021">
      <w:pPr>
        <w:spacing w:after="240" w:before="240" w:lineRule="auto"/>
        <w:rPr/>
      </w:pPr>
      <w:r w:rsidDel="00000000" w:rsidR="00000000" w:rsidRPr="00000000">
        <w:rPr>
          <w:rtl w:val="0"/>
        </w:rPr>
        <w:t xml:space="preserve">Despite advancements in agricultural technology, a significant digital divide persists due to the English-centric nature of most AI models [Citation]. In regions like Andhra Pradesh, where aquaculture is a primary economic driver, delivering real-time diagnostics in the vernacular language (Telugu) is essential. While cloud-based translation APIs are widely available, offline Neural Machine Translation (NMT) on constrained hardware introduces challenges related to latency, memory footprint, and recursive hallucination loops (e.g., infinite text generation). AquaAssist leverages the NLLB-200 (No Language Left Behind) architecture, strictly applying repetition penalties and token limits to stabilize English-to-Telugu translation dynamically on the edge, ensuring linguistic accessibility without compromising system stability.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2. Literature Survey</w:t>
      </w:r>
    </w:p>
    <w:p w:rsidR="00000000" w:rsidDel="00000000" w:rsidP="00000000" w:rsidRDefault="00000000" w:rsidRPr="00000000" w14:paraId="00000024">
      <w:pPr>
        <w:spacing w:after="240" w:before="240" w:lineRule="auto"/>
        <w:rPr/>
      </w:pPr>
      <w:r w:rsidDel="00000000" w:rsidR="00000000" w:rsidRPr="00000000">
        <w:rPr>
          <w:rtl w:val="0"/>
        </w:rPr>
        <w:t xml:space="preserve">The development of AquaAssist bridges several distinct domains of computer science and agricultural engineering. This survey reviews the current literature across four primary areas: IoT-based aquaculture monitoring, Edge AI and localized retrieval systems, hallucination mitigation via Natural Language Inference (NLI), and offline vernacular translation for agricultural accessibility.</w:t>
      </w:r>
    </w:p>
    <w:p w:rsidR="00000000" w:rsidDel="00000000" w:rsidP="00000000" w:rsidRDefault="00000000" w:rsidRPr="00000000" w14:paraId="00000025">
      <w:pPr>
        <w:spacing w:after="240" w:before="240" w:lineRule="auto"/>
        <w:rPr/>
      </w:pPr>
      <w:r w:rsidDel="00000000" w:rsidR="00000000" w:rsidRPr="00000000">
        <w:rPr>
          <w:rtl w:val="0"/>
        </w:rPr>
        <w:t xml:space="preserve">2.1. Conventional IoT and Machine Learning in Aquaculture</w:t>
      </w:r>
    </w:p>
    <w:p w:rsidR="00000000" w:rsidDel="00000000" w:rsidP="00000000" w:rsidRDefault="00000000" w:rsidRPr="00000000" w14:paraId="00000026">
      <w:pPr>
        <w:spacing w:after="240" w:before="240" w:lineRule="auto"/>
        <w:rPr/>
      </w:pPr>
      <w:r w:rsidDel="00000000" w:rsidR="00000000" w:rsidRPr="00000000">
        <w:rPr>
          <w:rtl w:val="0"/>
        </w:rPr>
        <w:t xml:space="preserve">Early research in precision aquaculture primarily focused on the deployment of Internet of Things (IoT) sensor networks to monitor physicochemical parameters such as Dissolved Oxygen (DO), pH, temperature, and ammonia levels [Citation]. To interpret this telemetry, subsequent studies integrated conventional machine learning algorithms—including Support Vector Machines (SVM), Random Forests, and Artificial Neural Networks (ANN)—to forecast water quality degradation and predict disease outbreaks [Citation]. While these systems demonstrate high statistical accuracy in anomaly detection, the literature reveals two persistent limitations. First, they generally rely on cloud-computing infrastructure for data processing, making them structurally brittle in rural agricultural zones with intermittent network connectivity [Citation]. Second, their output is typically restricted to quantitative risk probabilities or dashboard alerts, requiring the farmer to independently deduce the appropriate biological or chemical intervention. There is a documented gap in systems that can directly map anomalous telemetry to actionable, natural language remediation protocols without cloud dependency.</w:t>
      </w:r>
    </w:p>
    <w:p w:rsidR="00000000" w:rsidDel="00000000" w:rsidP="00000000" w:rsidRDefault="00000000" w:rsidRPr="00000000" w14:paraId="00000027">
      <w:pPr>
        <w:spacing w:after="240" w:before="240" w:lineRule="auto"/>
        <w:rPr/>
      </w:pPr>
      <w:r w:rsidDel="00000000" w:rsidR="00000000" w:rsidRPr="00000000">
        <w:rPr>
          <w:rtl w:val="0"/>
        </w:rPr>
        <w:t xml:space="preserve">2.2. Edge AI and the Evolution of Retrieval-Augmented Generation</w:t>
      </w:r>
    </w:p>
    <w:p w:rsidR="00000000" w:rsidDel="00000000" w:rsidP="00000000" w:rsidRDefault="00000000" w:rsidRPr="00000000" w14:paraId="00000028">
      <w:pPr>
        <w:spacing w:after="240" w:before="240" w:lineRule="auto"/>
        <w:rPr/>
      </w:pPr>
      <w:r w:rsidDel="00000000" w:rsidR="00000000" w:rsidRPr="00000000">
        <w:rPr>
          <w:rtl w:val="0"/>
        </w:rPr>
        <w:t xml:space="preserve">Retrieval-Augmented Generation (RAG) has become the academic standard for grounding Large Language Models (LLMs) in proprietary or domain-specific data, thereby reducing open-domain hallucinations [Citation]. However, traditional RAG architectures require substantial computational overhead (high-VRAM GPUs) to run the generative LLM component at runtime, precluding their use on standard edge devices [Citation]. Recent literature has begun exploring "Edge AI" and Small Language Models (SLMs) to decentralize this computation. Studies optimizing models via quantization (e.g., GGUF, AWQ) show promise, yet even quantized generative models frequently induce VRAM deadlocks or unacceptable latency on constrained, CPU-bound hardware like single-board computers [Citation]. The literature suggests a theoretical need for "shift-left" architectures—where the computationally expensive generative synthesis is performed offline prior to deployment, allowing the edge device to rely solely on highly optimized semantic retrieval (such as BAAI/bge-m3 dense and ColBERT token matching) at runtime.</w:t>
      </w:r>
    </w:p>
    <w:p w:rsidR="00000000" w:rsidDel="00000000" w:rsidP="00000000" w:rsidRDefault="00000000" w:rsidRPr="00000000" w14:paraId="00000029">
      <w:pPr>
        <w:spacing w:after="240" w:before="240" w:lineRule="auto"/>
        <w:rPr/>
      </w:pPr>
      <w:r w:rsidDel="00000000" w:rsidR="00000000" w:rsidRPr="00000000">
        <w:rPr>
          <w:rtl w:val="0"/>
        </w:rPr>
        <w:t xml:space="preserve">2.3. Hallucination Mitigation and Safety in Agricultural AI</w:t>
      </w:r>
    </w:p>
    <w:p w:rsidR="00000000" w:rsidDel="00000000" w:rsidP="00000000" w:rsidRDefault="00000000" w:rsidRPr="00000000" w14:paraId="0000002A">
      <w:pPr>
        <w:spacing w:after="240" w:before="240" w:lineRule="auto"/>
        <w:rPr/>
      </w:pPr>
      <w:r w:rsidDel="00000000" w:rsidR="00000000" w:rsidRPr="00000000">
        <w:rPr>
          <w:rtl w:val="0"/>
        </w:rPr>
        <w:t xml:space="preserve">A critical barrier to deploying conversational AI in agricultural settings is the risk of hallucinatory generation. In aquaculture, recommending an incorrect chemical dosage or cross-species treatment can result in catastrophic crop loss [Citation]. The prevailing literature on hallucination mitigation often focuses on generative self-reflection, where an LLM is prompted to critique its own output before presenting it to the user [Citation]. However, this approach is non-deterministic and computationally expensive. An emerging alternative in AI safety literature leverages Natural Language Inference (NLI) models, such as DeBERTa CrossEncoders, to perform deterministic textual entailment [Citation]. By framing user telemetry as a "Premise" and the retrieved database remediation as a "Hypothesis," NLI models can output strict, mathematical probabilities of contradiction. While NLI has been heavily researched for fact-checking in news domains, its application as a deterministic safety gate to block hazardous agricultural interventions on edge devices remains underexplored.</w:t>
      </w:r>
    </w:p>
    <w:p w:rsidR="00000000" w:rsidDel="00000000" w:rsidP="00000000" w:rsidRDefault="00000000" w:rsidRPr="00000000" w14:paraId="0000002B">
      <w:pPr>
        <w:spacing w:after="240" w:before="240" w:lineRule="auto"/>
        <w:rPr/>
      </w:pPr>
      <w:r w:rsidDel="00000000" w:rsidR="00000000" w:rsidRPr="00000000">
        <w:rPr>
          <w:rtl w:val="0"/>
        </w:rPr>
        <w:t xml:space="preserve">2.4. Neural Machine Translation (NMT) for Low-Resource Languages</w:t>
      </w:r>
    </w:p>
    <w:p w:rsidR="00000000" w:rsidDel="00000000" w:rsidP="00000000" w:rsidRDefault="00000000" w:rsidRPr="00000000" w14:paraId="0000002C">
      <w:pPr>
        <w:spacing w:after="240" w:before="240" w:lineRule="auto"/>
        <w:rPr/>
      </w:pPr>
      <w:r w:rsidDel="00000000" w:rsidR="00000000" w:rsidRPr="00000000">
        <w:rPr>
          <w:rtl w:val="0"/>
        </w:rPr>
        <w:t xml:space="preserve">The digital divide in agricultural technology is exacerbated by the English-centric bias of most advanced language models. Research emphasizing technology adoption in regions like Andhra Pradesh, India, highlights the necessity of vernacular interfaces (e.g., Telugu) [Citation]. While cloud-based APIs provide robust translation, offline Edge NMT presents significant hardware challenges. Advanced multilingual architectures like NLLB-200 (No Language Left Behind) provide broad coverage for low-resource languages but are prone to recursive hallucination loops (e.g., infinite token repetition) when operating under memory-constrained inference [Citation]. The literature indicates that deploying NMT on edge devices requires aggressive algorithmic constraints—such as strict repetition penalties, deterministic token thresholds, and temperature clamping—to ensure stable, localized UI rendering without exhausting CPU resources.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