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D7D31"/>
          <w:sz w:val="28"/>
        </w:rPr>
        <w:t>WEEK 3 TASK</w:t>
      </w:r>
    </w:p>
    <w:p>
      <w:pPr>
        <w:jc w:val="center"/>
      </w:pPr>
      <w:r>
        <w:rPr>
          <w:b/>
          <w:color w:val="1F4E79"/>
          <w:sz w:val="48"/>
        </w:rPr>
        <w:t>Data Cleaning and Preprocessing Pipeline Development</w:t>
      </w:r>
    </w:p>
    <w:p>
      <w:pPr>
        <w:jc w:val="center"/>
      </w:pPr>
      <w:r>
        <w:rPr>
          <w:i/>
          <w:sz w:val="28"/>
        </w:rPr>
        <w:t>Beauty &amp; Wellness Appointment Dataset</w:t>
      </w:r>
    </w:p>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F4E78"/>
          </w:tcPr>
          <w:p>
            <w:pPr>
              <w:spacing w:after="0"/>
            </w:pPr>
            <w:r/>
            <w:r>
              <w:rPr>
                <w:b/>
                <w:color w:val="FFFFFF"/>
                <w:sz w:val="18"/>
              </w:rPr>
              <w:t>Project detail</w:t>
            </w:r>
          </w:p>
        </w:tc>
        <w:tc>
          <w:tcPr>
            <w:tcW w:type="dxa" w:w="6912"/>
            <w:vAlign w:val="center"/>
            <w:shd w:fill="1F4E78"/>
          </w:tcPr>
          <w:p>
            <w:pPr>
              <w:spacing w:after="0"/>
            </w:pPr>
            <w:r/>
            <w:r>
              <w:rPr>
                <w:b/>
                <w:color w:val="FFFFFF"/>
                <w:sz w:val="18"/>
              </w:rPr>
              <w:t>Information</w:t>
            </w:r>
          </w:p>
        </w:tc>
      </w:tr>
      <w:tr>
        <w:tc>
          <w:tcPr>
            <w:tcW w:type="dxa" w:w="2592"/>
            <w:vAlign w:val="center"/>
          </w:tcPr>
          <w:p>
            <w:pPr>
              <w:spacing w:after="0"/>
            </w:pPr>
            <w:r/>
            <w:r>
              <w:rPr>
                <w:b w:val="0"/>
                <w:sz w:val="18"/>
              </w:rPr>
              <w:t>Project domain</w:t>
            </w:r>
          </w:p>
        </w:tc>
        <w:tc>
          <w:tcPr>
            <w:tcW w:type="dxa" w:w="6912"/>
            <w:vAlign w:val="center"/>
          </w:tcPr>
          <w:p>
            <w:pPr>
              <w:spacing w:after="0"/>
            </w:pPr>
            <w:r/>
            <w:r>
              <w:rPr>
                <w:b w:val="0"/>
                <w:sz w:val="18"/>
              </w:rPr>
              <w:t>Beauty &amp; Wellness</w:t>
            </w:r>
          </w:p>
        </w:tc>
      </w:tr>
      <w:tr>
        <w:tc>
          <w:tcPr>
            <w:tcW w:type="dxa" w:w="2592"/>
            <w:vAlign w:val="center"/>
          </w:tcPr>
          <w:p>
            <w:pPr>
              <w:spacing w:after="0"/>
            </w:pPr>
            <w:r/>
            <w:r>
              <w:rPr>
                <w:b w:val="0"/>
                <w:sz w:val="18"/>
              </w:rPr>
              <w:t>Dataset file</w:t>
            </w:r>
          </w:p>
        </w:tc>
        <w:tc>
          <w:tcPr>
            <w:tcW w:type="dxa" w:w="6912"/>
            <w:vAlign w:val="center"/>
          </w:tcPr>
          <w:p>
            <w:pPr>
              <w:spacing w:after="0"/>
            </w:pPr>
            <w:r/>
            <w:r>
              <w:rPr>
                <w:b w:val="0"/>
                <w:sz w:val="18"/>
              </w:rPr>
              <w:t>salon_appointments_dummy(1).csv</w:t>
            </w:r>
          </w:p>
        </w:tc>
      </w:tr>
      <w:tr>
        <w:tc>
          <w:tcPr>
            <w:tcW w:type="dxa" w:w="2592"/>
            <w:vAlign w:val="center"/>
          </w:tcPr>
          <w:p>
            <w:pPr>
              <w:spacing w:after="0"/>
            </w:pPr>
            <w:r/>
            <w:r>
              <w:rPr>
                <w:b w:val="0"/>
                <w:sz w:val="18"/>
              </w:rPr>
              <w:t>Dataset size</w:t>
            </w:r>
          </w:p>
        </w:tc>
        <w:tc>
          <w:tcPr>
            <w:tcW w:type="dxa" w:w="6912"/>
            <w:vAlign w:val="center"/>
          </w:tcPr>
          <w:p>
            <w:pPr>
              <w:spacing w:after="0"/>
            </w:pPr>
            <w:r/>
            <w:r>
              <w:rPr>
                <w:b w:val="0"/>
                <w:sz w:val="18"/>
              </w:rPr>
              <w:t>100 rows × 7 columns</w:t>
            </w:r>
          </w:p>
        </w:tc>
      </w:tr>
      <w:tr>
        <w:tc>
          <w:tcPr>
            <w:tcW w:type="dxa" w:w="2592"/>
            <w:vAlign w:val="center"/>
          </w:tcPr>
          <w:p>
            <w:pPr>
              <w:spacing w:after="0"/>
            </w:pPr>
            <w:r/>
            <w:r>
              <w:rPr>
                <w:b w:val="0"/>
                <w:sz w:val="18"/>
              </w:rPr>
              <w:t>Tools</w:t>
            </w:r>
          </w:p>
        </w:tc>
        <w:tc>
          <w:tcPr>
            <w:tcW w:type="dxa" w:w="6912"/>
            <w:vAlign w:val="center"/>
          </w:tcPr>
          <w:p>
            <w:pPr>
              <w:spacing w:after="0"/>
            </w:pPr>
            <w:r/>
            <w:r>
              <w:rPr>
                <w:b w:val="0"/>
                <w:sz w:val="18"/>
              </w:rPr>
              <w:t>Python, Pandas, NumPy, Google Colab</w:t>
            </w:r>
          </w:p>
        </w:tc>
      </w:tr>
      <w:tr>
        <w:tc>
          <w:tcPr>
            <w:tcW w:type="dxa" w:w="2592"/>
            <w:vAlign w:val="center"/>
          </w:tcPr>
          <w:p>
            <w:pPr>
              <w:spacing w:after="0"/>
            </w:pPr>
            <w:r/>
            <w:r>
              <w:rPr>
                <w:b w:val="0"/>
                <w:sz w:val="18"/>
              </w:rPr>
              <w:t>Main deliverable</w:t>
            </w:r>
          </w:p>
        </w:tc>
        <w:tc>
          <w:tcPr>
            <w:tcW w:type="dxa" w:w="6912"/>
            <w:vAlign w:val="center"/>
          </w:tcPr>
          <w:p>
            <w:pPr>
              <w:spacing w:after="0"/>
            </w:pPr>
            <w:r/>
            <w:r>
              <w:rPr>
                <w:b w:val="0"/>
                <w:sz w:val="18"/>
              </w:rPr>
              <w:t>Documented cleaning methodology and reproducible preprocessing pipeline</w:t>
            </w:r>
          </w:p>
        </w:tc>
      </w:tr>
    </w:tbl>
    <w:p/>
    <w:p>
      <w:pPr>
        <w:jc w:val="center"/>
      </w:pPr>
      <w:r>
        <w:rPr>
          <w:i/>
        </w:rPr>
        <w:t>Prepared as a practical Week 3 assignment report</w:t>
      </w:r>
    </w:p>
    <w:p>
      <w:r>
        <w:br w:type="page"/>
      </w:r>
    </w:p>
    <w:p>
      <w:pPr>
        <w:pStyle w:val="Heading1"/>
      </w:pPr>
      <w:r>
        <w:t>1. Executive Summary</w:t>
      </w:r>
    </w:p>
    <w:p>
      <w:r>
        <w:t>This report describes a repeatable data-cleaning and preprocessing workflow for a beauty and wellness appointment dataset. The source file contains 100 records and 7 columns. The pipeline inspects structure and data types, checks missing values and duplicates, standardizes text, converts dates and times, validates prices, detects potential price outliers using the Interquartile Range (IQR) rule, and saves a processed CSV for subsequent analysis.</w:t>
      </w:r>
    </w:p>
    <w:p>
      <w:r>
        <w:t>In the observed run, the dataset had 0 missing cells before cleaning, 0 exact duplicate rows, 0 duplicate appointment IDs, 0 invalid prices, and 0 potential price outliers under the IQR rule. Because no issues were detected by these checks, the pipeline retained all 100 records. This is an important finding: a responsible workflow reports observed results rather than manufacturing data problems.</w:t>
      </w:r>
    </w:p>
    <w:p>
      <w:pPr>
        <w:pStyle w:val="Heading1"/>
      </w:pPr>
      <w:r>
        <w:t>2. Introduction and Business Context</w:t>
      </w:r>
    </w:p>
    <w:p>
      <w:r>
        <w:t>Beauty and wellness businesses may collect appointment dates, service names, prices, customer identifiers, and staff identifiers. Inconsistent or inaccurate records can distort service-demand summaries, revenue calculations, staff workload reports, and future predictive models. Data cleaning improves consistency and helps analysts understand whether the data is suitable for the next stage of work.</w:t>
      </w:r>
    </w:p>
    <w:p>
      <w:r>
        <w:t>The supplied dataset is described as a dummy/synthetic dataset. Therefore, its results are useful for demonstrating a workflow but should not be treated as evidence about real customers or the entire beauty and wellness industry.</w:t>
      </w:r>
    </w:p>
    <w:p>
      <w:pPr>
        <w:pStyle w:val="Heading1"/>
      </w:pPr>
      <w:r>
        <w:t>3. Objectives</w:t>
      </w:r>
    </w:p>
    <w:p>
      <w:pPr>
        <w:pStyle w:val="ListBullet"/>
      </w:pPr>
      <w:r>
        <w:t>Inspect the dataset's structure, fields, data types, and completeness.</w:t>
      </w:r>
    </w:p>
    <w:p>
      <w:pPr>
        <w:pStyle w:val="ListBullet"/>
      </w:pPr>
      <w:r>
        <w:t>Check exact duplicate records and appointment-ID uniqueness.</w:t>
      </w:r>
    </w:p>
    <w:p>
      <w:pPr>
        <w:pStyle w:val="ListBullet"/>
      </w:pPr>
      <w:r>
        <w:t>Standardize text fields and parse appointment dates and times into consistent formats.</w:t>
      </w:r>
    </w:p>
    <w:p>
      <w:pPr>
        <w:pStyle w:val="ListBullet"/>
      </w:pPr>
      <w:r>
        <w:t>Convert prices to numeric values and flag non-positive or unparseable prices.</w:t>
      </w:r>
    </w:p>
    <w:p>
      <w:pPr>
        <w:pStyle w:val="ListBullet"/>
      </w:pPr>
      <w:r>
        <w:t>Identify potential price outliers with the IQR method without deleting them automatically.</w:t>
      </w:r>
    </w:p>
    <w:p>
      <w:pPr>
        <w:pStyle w:val="ListBullet"/>
      </w:pPr>
      <w:r>
        <w:t>Save the processed data and document the workflow so another person can reproduce it.</w:t>
      </w:r>
    </w:p>
    <w:p>
      <w:pPr>
        <w:pStyle w:val="ListBullet"/>
      </w:pPr>
      <w:r>
        <w:t>Explain how consistent data supports later analysis and modeling.</w:t>
      </w:r>
    </w:p>
    <w:p>
      <w:pPr>
        <w:pStyle w:val="Heading1"/>
      </w:pPr>
      <w:r>
        <w:t>4. Dataset Description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vAlign w:val="center"/>
            <w:shd w:fill="1F4E78"/>
          </w:tcPr>
          <w:p>
            <w:pPr>
              <w:spacing w:after="0"/>
            </w:pPr>
            <w:r/>
            <w:r>
              <w:rPr>
                <w:b/>
                <w:color w:val="FFFFFF"/>
                <w:sz w:val="18"/>
              </w:rPr>
              <w:t>Column</w:t>
            </w:r>
          </w:p>
        </w:tc>
        <w:tc>
          <w:tcPr>
            <w:tcW w:type="dxa" w:w="2232"/>
            <w:vAlign w:val="center"/>
            <w:shd w:fill="1F4E78"/>
          </w:tcPr>
          <w:p>
            <w:pPr>
              <w:spacing w:after="0"/>
            </w:pPr>
            <w:r/>
            <w:r>
              <w:rPr>
                <w:b/>
                <w:color w:val="FFFFFF"/>
                <w:sz w:val="18"/>
              </w:rPr>
              <w:t>Meaning</w:t>
            </w:r>
          </w:p>
        </w:tc>
        <w:tc>
          <w:tcPr>
            <w:tcW w:type="dxa" w:w="1800"/>
            <w:vAlign w:val="center"/>
            <w:shd w:fill="1F4E78"/>
          </w:tcPr>
          <w:p>
            <w:pPr>
              <w:spacing w:after="0"/>
            </w:pPr>
            <w:r/>
            <w:r>
              <w:rPr>
                <w:b/>
                <w:color w:val="FFFFFF"/>
                <w:sz w:val="18"/>
              </w:rPr>
              <w:t>Initial type / role</w:t>
            </w:r>
          </w:p>
        </w:tc>
        <w:tc>
          <w:tcPr>
            <w:tcW w:type="dxa" w:w="3888"/>
            <w:vAlign w:val="center"/>
            <w:shd w:fill="1F4E78"/>
          </w:tcPr>
          <w:p>
            <w:pPr>
              <w:spacing w:after="0"/>
            </w:pPr>
            <w:r/>
            <w:r>
              <w:rPr>
                <w:b/>
                <w:color w:val="FFFFFF"/>
                <w:sz w:val="18"/>
              </w:rPr>
              <w:t>Cleaning consideration</w:t>
            </w:r>
          </w:p>
        </w:tc>
      </w:tr>
      <w:tr>
        <w:tc>
          <w:tcPr>
            <w:tcW w:type="dxa" w:w="1944"/>
            <w:vAlign w:val="center"/>
          </w:tcPr>
          <w:p>
            <w:pPr>
              <w:spacing w:after="0"/>
            </w:pPr>
            <w:r/>
            <w:r>
              <w:rPr>
                <w:b w:val="0"/>
                <w:sz w:val="18"/>
              </w:rPr>
              <w:t>appointment_id</w:t>
            </w:r>
          </w:p>
        </w:tc>
        <w:tc>
          <w:tcPr>
            <w:tcW w:type="dxa" w:w="2232"/>
            <w:vAlign w:val="center"/>
          </w:tcPr>
          <w:p>
            <w:pPr>
              <w:spacing w:after="0"/>
            </w:pPr>
            <w:r/>
            <w:r>
              <w:rPr>
                <w:b w:val="0"/>
                <w:sz w:val="18"/>
              </w:rPr>
              <w:t>Appointment identifier</w:t>
            </w:r>
          </w:p>
        </w:tc>
        <w:tc>
          <w:tcPr>
            <w:tcW w:type="dxa" w:w="1800"/>
            <w:vAlign w:val="center"/>
          </w:tcPr>
          <w:p>
            <w:pPr>
              <w:spacing w:after="0"/>
            </w:pPr>
            <w:r/>
            <w:r>
              <w:rPr>
                <w:b w:val="0"/>
                <w:sz w:val="18"/>
              </w:rPr>
              <w:t>Integer</w:t>
            </w:r>
          </w:p>
        </w:tc>
        <w:tc>
          <w:tcPr>
            <w:tcW w:type="dxa" w:w="3888"/>
            <w:vAlign w:val="center"/>
          </w:tcPr>
          <w:p>
            <w:pPr>
              <w:spacing w:after="0"/>
            </w:pPr>
            <w:r/>
            <w:r>
              <w:rPr>
                <w:b w:val="0"/>
                <w:sz w:val="18"/>
              </w:rPr>
              <w:t>Check uniqueness; should identify one appointment.</w:t>
            </w:r>
          </w:p>
        </w:tc>
      </w:tr>
      <w:tr>
        <w:tc>
          <w:tcPr>
            <w:tcW w:type="dxa" w:w="1944"/>
            <w:vAlign w:val="center"/>
          </w:tcPr>
          <w:p>
            <w:pPr>
              <w:spacing w:after="0"/>
            </w:pPr>
            <w:r/>
            <w:r>
              <w:rPr>
                <w:b w:val="0"/>
                <w:sz w:val="18"/>
              </w:rPr>
              <w:t>service_name</w:t>
            </w:r>
          </w:p>
        </w:tc>
        <w:tc>
          <w:tcPr>
            <w:tcW w:type="dxa" w:w="2232"/>
            <w:vAlign w:val="center"/>
          </w:tcPr>
          <w:p>
            <w:pPr>
              <w:spacing w:after="0"/>
            </w:pPr>
            <w:r/>
            <w:r>
              <w:rPr>
                <w:b w:val="0"/>
                <w:sz w:val="18"/>
              </w:rPr>
              <w:t>Beauty/wellness service category</w:t>
            </w:r>
          </w:p>
        </w:tc>
        <w:tc>
          <w:tcPr>
            <w:tcW w:type="dxa" w:w="1800"/>
            <w:vAlign w:val="center"/>
          </w:tcPr>
          <w:p>
            <w:pPr>
              <w:spacing w:after="0"/>
            </w:pPr>
            <w:r/>
            <w:r>
              <w:rPr>
                <w:b w:val="0"/>
                <w:sz w:val="18"/>
              </w:rPr>
              <w:t>Text/category</w:t>
            </w:r>
          </w:p>
        </w:tc>
        <w:tc>
          <w:tcPr>
            <w:tcW w:type="dxa" w:w="3888"/>
            <w:vAlign w:val="center"/>
          </w:tcPr>
          <w:p>
            <w:pPr>
              <w:spacing w:after="0"/>
            </w:pPr>
            <w:r/>
            <w:r>
              <w:rPr>
                <w:b w:val="0"/>
                <w:sz w:val="18"/>
              </w:rPr>
              <w:t>Trim whitespace and review inconsistent labels.</w:t>
            </w:r>
          </w:p>
        </w:tc>
      </w:tr>
      <w:tr>
        <w:tc>
          <w:tcPr>
            <w:tcW w:type="dxa" w:w="1944"/>
            <w:vAlign w:val="center"/>
          </w:tcPr>
          <w:p>
            <w:pPr>
              <w:spacing w:after="0"/>
            </w:pPr>
            <w:r/>
            <w:r>
              <w:rPr>
                <w:b w:val="0"/>
                <w:sz w:val="18"/>
              </w:rPr>
              <w:t>price</w:t>
            </w:r>
          </w:p>
        </w:tc>
        <w:tc>
          <w:tcPr>
            <w:tcW w:type="dxa" w:w="2232"/>
            <w:vAlign w:val="center"/>
          </w:tcPr>
          <w:p>
            <w:pPr>
              <w:spacing w:after="0"/>
            </w:pPr>
            <w:r/>
            <w:r>
              <w:rPr>
                <w:b w:val="0"/>
                <w:sz w:val="18"/>
              </w:rPr>
              <w:t>Price recorded for a service</w:t>
            </w:r>
          </w:p>
        </w:tc>
        <w:tc>
          <w:tcPr>
            <w:tcW w:type="dxa" w:w="1800"/>
            <w:vAlign w:val="center"/>
          </w:tcPr>
          <w:p>
            <w:pPr>
              <w:spacing w:after="0"/>
            </w:pPr>
            <w:r/>
            <w:r>
              <w:rPr>
                <w:b w:val="0"/>
                <w:sz w:val="18"/>
              </w:rPr>
              <w:t>Integer/numeric</w:t>
            </w:r>
          </w:p>
        </w:tc>
        <w:tc>
          <w:tcPr>
            <w:tcW w:type="dxa" w:w="3888"/>
            <w:vAlign w:val="center"/>
          </w:tcPr>
          <w:p>
            <w:pPr>
              <w:spacing w:after="0"/>
            </w:pPr>
            <w:r/>
            <w:r>
              <w:rPr>
                <w:b w:val="0"/>
                <w:sz w:val="18"/>
              </w:rPr>
              <w:t>Convert to numeric; flag missing, non-numeric, or non-positive values.</w:t>
            </w:r>
          </w:p>
        </w:tc>
      </w:tr>
      <w:tr>
        <w:tc>
          <w:tcPr>
            <w:tcW w:type="dxa" w:w="1944"/>
            <w:vAlign w:val="center"/>
          </w:tcPr>
          <w:p>
            <w:pPr>
              <w:spacing w:after="0"/>
            </w:pPr>
            <w:r/>
            <w:r>
              <w:rPr>
                <w:b w:val="0"/>
                <w:sz w:val="18"/>
              </w:rPr>
              <w:t>appointment_date</w:t>
            </w:r>
          </w:p>
        </w:tc>
        <w:tc>
          <w:tcPr>
            <w:tcW w:type="dxa" w:w="2232"/>
            <w:vAlign w:val="center"/>
          </w:tcPr>
          <w:p>
            <w:pPr>
              <w:spacing w:after="0"/>
            </w:pPr>
            <w:r/>
            <w:r>
              <w:rPr>
                <w:b w:val="0"/>
                <w:sz w:val="18"/>
              </w:rPr>
              <w:t>Date of appointment</w:t>
            </w:r>
          </w:p>
        </w:tc>
        <w:tc>
          <w:tcPr>
            <w:tcW w:type="dxa" w:w="1800"/>
            <w:vAlign w:val="center"/>
          </w:tcPr>
          <w:p>
            <w:pPr>
              <w:spacing w:after="0"/>
            </w:pPr>
            <w:r/>
            <w:r>
              <w:rPr>
                <w:b w:val="0"/>
                <w:sz w:val="18"/>
              </w:rPr>
              <w:t>Text initially</w:t>
            </w:r>
          </w:p>
        </w:tc>
        <w:tc>
          <w:tcPr>
            <w:tcW w:type="dxa" w:w="3888"/>
            <w:vAlign w:val="center"/>
          </w:tcPr>
          <w:p>
            <w:pPr>
              <w:spacing w:after="0"/>
            </w:pPr>
            <w:r/>
            <w:r>
              <w:rPr>
                <w:b w:val="0"/>
                <w:sz w:val="18"/>
              </w:rPr>
              <w:t>Parse with an explicit date format; inspect values that fail parsing.</w:t>
            </w:r>
          </w:p>
        </w:tc>
      </w:tr>
      <w:tr>
        <w:tc>
          <w:tcPr>
            <w:tcW w:type="dxa" w:w="1944"/>
            <w:vAlign w:val="center"/>
          </w:tcPr>
          <w:p>
            <w:pPr>
              <w:spacing w:after="0"/>
            </w:pPr>
            <w:r/>
            <w:r>
              <w:rPr>
                <w:b w:val="0"/>
                <w:sz w:val="18"/>
              </w:rPr>
              <w:t>appointment_time</w:t>
            </w:r>
          </w:p>
        </w:tc>
        <w:tc>
          <w:tcPr>
            <w:tcW w:type="dxa" w:w="2232"/>
            <w:vAlign w:val="center"/>
          </w:tcPr>
          <w:p>
            <w:pPr>
              <w:spacing w:after="0"/>
            </w:pPr>
            <w:r/>
            <w:r>
              <w:rPr>
                <w:b w:val="0"/>
                <w:sz w:val="18"/>
              </w:rPr>
              <w:t>Appointment time</w:t>
            </w:r>
          </w:p>
        </w:tc>
        <w:tc>
          <w:tcPr>
            <w:tcW w:type="dxa" w:w="1800"/>
            <w:vAlign w:val="center"/>
          </w:tcPr>
          <w:p>
            <w:pPr>
              <w:spacing w:after="0"/>
            </w:pPr>
            <w:r/>
            <w:r>
              <w:rPr>
                <w:b w:val="0"/>
                <w:sz w:val="18"/>
              </w:rPr>
              <w:t>Text initially</w:t>
            </w:r>
          </w:p>
        </w:tc>
        <w:tc>
          <w:tcPr>
            <w:tcW w:type="dxa" w:w="3888"/>
            <w:vAlign w:val="center"/>
          </w:tcPr>
          <w:p>
            <w:pPr>
              <w:spacing w:after="0"/>
            </w:pPr>
            <w:r/>
            <w:r>
              <w:rPr>
                <w:b w:val="0"/>
                <w:sz w:val="18"/>
              </w:rPr>
              <w:t>Parse with a consistent time format.</w:t>
            </w:r>
          </w:p>
        </w:tc>
      </w:tr>
      <w:tr>
        <w:tc>
          <w:tcPr>
            <w:tcW w:type="dxa" w:w="1944"/>
            <w:vAlign w:val="center"/>
          </w:tcPr>
          <w:p>
            <w:pPr>
              <w:spacing w:after="0"/>
            </w:pPr>
            <w:r/>
            <w:r>
              <w:rPr>
                <w:b w:val="0"/>
                <w:sz w:val="18"/>
              </w:rPr>
              <w:t>customer_id</w:t>
            </w:r>
          </w:p>
        </w:tc>
        <w:tc>
          <w:tcPr>
            <w:tcW w:type="dxa" w:w="2232"/>
            <w:vAlign w:val="center"/>
          </w:tcPr>
          <w:p>
            <w:pPr>
              <w:spacing w:after="0"/>
            </w:pPr>
            <w:r/>
            <w:r>
              <w:rPr>
                <w:b w:val="0"/>
                <w:sz w:val="18"/>
              </w:rPr>
              <w:t>Customer identifier</w:t>
            </w:r>
          </w:p>
        </w:tc>
        <w:tc>
          <w:tcPr>
            <w:tcW w:type="dxa" w:w="1800"/>
            <w:vAlign w:val="center"/>
          </w:tcPr>
          <w:p>
            <w:pPr>
              <w:spacing w:after="0"/>
            </w:pPr>
            <w:r/>
            <w:r>
              <w:rPr>
                <w:b w:val="0"/>
                <w:sz w:val="18"/>
              </w:rPr>
              <w:t>Text</w:t>
            </w:r>
          </w:p>
        </w:tc>
        <w:tc>
          <w:tcPr>
            <w:tcW w:type="dxa" w:w="3888"/>
            <w:vAlign w:val="center"/>
          </w:tcPr>
          <w:p>
            <w:pPr>
              <w:spacing w:after="0"/>
            </w:pPr>
            <w:r/>
            <w:r>
              <w:rPr>
                <w:b w:val="0"/>
                <w:sz w:val="18"/>
              </w:rPr>
              <w:t>Preserve as text so identifier formatting is not altered.</w:t>
            </w:r>
          </w:p>
        </w:tc>
      </w:tr>
      <w:tr>
        <w:tc>
          <w:tcPr>
            <w:tcW w:type="dxa" w:w="1944"/>
            <w:vAlign w:val="center"/>
          </w:tcPr>
          <w:p>
            <w:pPr>
              <w:spacing w:after="0"/>
            </w:pPr>
            <w:r/>
            <w:r>
              <w:rPr>
                <w:b w:val="0"/>
                <w:sz w:val="18"/>
              </w:rPr>
              <w:t>staff_member_id</w:t>
            </w:r>
          </w:p>
        </w:tc>
        <w:tc>
          <w:tcPr>
            <w:tcW w:type="dxa" w:w="2232"/>
            <w:vAlign w:val="center"/>
          </w:tcPr>
          <w:p>
            <w:pPr>
              <w:spacing w:after="0"/>
            </w:pPr>
            <w:r/>
            <w:r>
              <w:rPr>
                <w:b w:val="0"/>
                <w:sz w:val="18"/>
              </w:rPr>
              <w:t>Staff identifier</w:t>
            </w:r>
          </w:p>
        </w:tc>
        <w:tc>
          <w:tcPr>
            <w:tcW w:type="dxa" w:w="1800"/>
            <w:vAlign w:val="center"/>
          </w:tcPr>
          <w:p>
            <w:pPr>
              <w:spacing w:after="0"/>
            </w:pPr>
            <w:r/>
            <w:r>
              <w:rPr>
                <w:b w:val="0"/>
                <w:sz w:val="18"/>
              </w:rPr>
              <w:t>Text</w:t>
            </w:r>
          </w:p>
        </w:tc>
        <w:tc>
          <w:tcPr>
            <w:tcW w:type="dxa" w:w="3888"/>
            <w:vAlign w:val="center"/>
          </w:tcPr>
          <w:p>
            <w:pPr>
              <w:spacing w:after="0"/>
            </w:pPr>
            <w:r/>
            <w:r>
              <w:rPr>
                <w:b w:val="0"/>
                <w:sz w:val="18"/>
              </w:rPr>
              <w:t>Preserve as text and check for missing or inconsistent IDs.</w:t>
            </w:r>
          </w:p>
        </w:tc>
      </w:tr>
    </w:tbl>
    <w:p/>
    <w:p>
      <w:r>
        <w:t>The dataset contains 46 distinct customer identifiers, 4 distinct staff identifiers, and 7 service categories. The observed appointment date range is 01-08-2025 to 31-08-2025.</w:t>
      </w:r>
    </w:p>
    <w:p>
      <w:pPr>
        <w:pStyle w:val="Heading1"/>
      </w:pPr>
      <w:r>
        <w:t>5. Tools and Libraries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F4E78"/>
          </w:tcPr>
          <w:p>
            <w:pPr>
              <w:spacing w:after="0"/>
            </w:pPr>
            <w:r/>
            <w:r>
              <w:rPr>
                <w:b/>
                <w:color w:val="FFFFFF"/>
                <w:sz w:val="18"/>
              </w:rPr>
              <w:t>Tool/library</w:t>
            </w:r>
          </w:p>
        </w:tc>
        <w:tc>
          <w:tcPr>
            <w:tcW w:type="dxa" w:w="3888"/>
            <w:vAlign w:val="center"/>
            <w:shd w:fill="1F4E78"/>
          </w:tcPr>
          <w:p>
            <w:pPr>
              <w:spacing w:after="0"/>
            </w:pPr>
            <w:r/>
            <w:r>
              <w:rPr>
                <w:b/>
                <w:color w:val="FFFFFF"/>
                <w:sz w:val="18"/>
              </w:rPr>
              <w:t>Role in the pipeline</w:t>
            </w:r>
          </w:p>
        </w:tc>
        <w:tc>
          <w:tcPr>
            <w:tcW w:type="dxa" w:w="4032"/>
            <w:vAlign w:val="center"/>
            <w:shd w:fill="1F4E78"/>
          </w:tcPr>
          <w:p>
            <w:pPr>
              <w:spacing w:after="0"/>
            </w:pPr>
            <w:r/>
            <w:r>
              <w:rPr>
                <w:b/>
                <w:color w:val="FFFFFF"/>
                <w:sz w:val="18"/>
              </w:rPr>
              <w:t>Why it is suitable</w:t>
            </w:r>
          </w:p>
        </w:tc>
      </w:tr>
      <w:tr>
        <w:tc>
          <w:tcPr>
            <w:tcW w:type="dxa" w:w="1944"/>
            <w:vAlign w:val="center"/>
          </w:tcPr>
          <w:p>
            <w:pPr>
              <w:spacing w:after="0"/>
            </w:pPr>
            <w:r/>
            <w:r>
              <w:rPr>
                <w:b w:val="0"/>
                <w:sz w:val="18"/>
              </w:rPr>
              <w:t>Python</w:t>
            </w:r>
          </w:p>
        </w:tc>
        <w:tc>
          <w:tcPr>
            <w:tcW w:type="dxa" w:w="3888"/>
            <w:vAlign w:val="center"/>
          </w:tcPr>
          <w:p>
            <w:pPr>
              <w:spacing w:after="0"/>
            </w:pPr>
            <w:r/>
            <w:r>
              <w:rPr>
                <w:b w:val="0"/>
                <w:sz w:val="18"/>
              </w:rPr>
              <w:t>Runs the workflow</w:t>
            </w:r>
          </w:p>
        </w:tc>
        <w:tc>
          <w:tcPr>
            <w:tcW w:type="dxa" w:w="4032"/>
            <w:vAlign w:val="center"/>
          </w:tcPr>
          <w:p>
            <w:pPr>
              <w:spacing w:after="0"/>
            </w:pPr>
            <w:r/>
            <w:r>
              <w:rPr>
                <w:b w:val="0"/>
                <w:sz w:val="18"/>
              </w:rPr>
              <w:t>Readable, widely used, and supports repeatable scripts.</w:t>
            </w:r>
          </w:p>
        </w:tc>
      </w:tr>
      <w:tr>
        <w:tc>
          <w:tcPr>
            <w:tcW w:type="dxa" w:w="1944"/>
            <w:vAlign w:val="center"/>
          </w:tcPr>
          <w:p>
            <w:pPr>
              <w:spacing w:after="0"/>
            </w:pPr>
            <w:r/>
            <w:r>
              <w:rPr>
                <w:b w:val="0"/>
                <w:sz w:val="18"/>
              </w:rPr>
              <w:t>Pandas</w:t>
            </w:r>
          </w:p>
        </w:tc>
        <w:tc>
          <w:tcPr>
            <w:tcW w:type="dxa" w:w="3888"/>
            <w:vAlign w:val="center"/>
          </w:tcPr>
          <w:p>
            <w:pPr>
              <w:spacing w:after="0"/>
            </w:pPr>
            <w:r/>
            <w:r>
              <w:rPr>
                <w:b w:val="0"/>
                <w:sz w:val="18"/>
              </w:rPr>
              <w:t>Reads CSV files, inspects columns, handles missing values, parses dates, summarizes data, and exports results</w:t>
            </w:r>
          </w:p>
        </w:tc>
        <w:tc>
          <w:tcPr>
            <w:tcW w:type="dxa" w:w="4032"/>
            <w:vAlign w:val="center"/>
          </w:tcPr>
          <w:p>
            <w:pPr>
              <w:spacing w:after="0"/>
            </w:pPr>
            <w:r/>
            <w:r>
              <w:rPr>
                <w:b w:val="0"/>
                <w:sz w:val="18"/>
              </w:rPr>
              <w:t>DataFrame operations are convenient for tabular datasets.</w:t>
            </w:r>
          </w:p>
        </w:tc>
      </w:tr>
      <w:tr>
        <w:tc>
          <w:tcPr>
            <w:tcW w:type="dxa" w:w="1944"/>
            <w:vAlign w:val="center"/>
          </w:tcPr>
          <w:p>
            <w:pPr>
              <w:spacing w:after="0"/>
            </w:pPr>
            <w:r/>
            <w:r>
              <w:rPr>
                <w:b w:val="0"/>
                <w:sz w:val="18"/>
              </w:rPr>
              <w:t>NumPy</w:t>
            </w:r>
          </w:p>
        </w:tc>
        <w:tc>
          <w:tcPr>
            <w:tcW w:type="dxa" w:w="3888"/>
            <w:vAlign w:val="center"/>
          </w:tcPr>
          <w:p>
            <w:pPr>
              <w:spacing w:after="0"/>
            </w:pPr>
            <w:r/>
            <w:r>
              <w:rPr>
                <w:b w:val="0"/>
                <w:sz w:val="18"/>
              </w:rPr>
              <w:t>Supports numerical operations and can represent missing numeric values</w:t>
            </w:r>
          </w:p>
        </w:tc>
        <w:tc>
          <w:tcPr>
            <w:tcW w:type="dxa" w:w="4032"/>
            <w:vAlign w:val="center"/>
          </w:tcPr>
          <w:p>
            <w:pPr>
              <w:spacing w:after="0"/>
            </w:pPr>
            <w:r/>
            <w:r>
              <w:rPr>
                <w:b w:val="0"/>
                <w:sz w:val="18"/>
              </w:rPr>
              <w:t>Useful for numerical processing and array-based calculations.</w:t>
            </w:r>
          </w:p>
        </w:tc>
      </w:tr>
      <w:tr>
        <w:tc>
          <w:tcPr>
            <w:tcW w:type="dxa" w:w="1944"/>
            <w:vAlign w:val="center"/>
          </w:tcPr>
          <w:p>
            <w:pPr>
              <w:spacing w:after="0"/>
            </w:pPr>
            <w:r/>
            <w:r>
              <w:rPr>
                <w:b w:val="0"/>
                <w:sz w:val="18"/>
              </w:rPr>
              <w:t>Google Colab</w:t>
            </w:r>
          </w:p>
        </w:tc>
        <w:tc>
          <w:tcPr>
            <w:tcW w:type="dxa" w:w="3888"/>
            <w:vAlign w:val="center"/>
          </w:tcPr>
          <w:p>
            <w:pPr>
              <w:spacing w:after="0"/>
            </w:pPr>
            <w:r/>
            <w:r>
              <w:rPr>
                <w:b w:val="0"/>
                <w:sz w:val="18"/>
              </w:rPr>
              <w:t>Cloud notebook environment used to execute and document code</w:t>
            </w:r>
          </w:p>
        </w:tc>
        <w:tc>
          <w:tcPr>
            <w:tcW w:type="dxa" w:w="4032"/>
            <w:vAlign w:val="center"/>
          </w:tcPr>
          <w:p>
            <w:pPr>
              <w:spacing w:after="0"/>
            </w:pPr>
            <w:r/>
            <w:r>
              <w:rPr>
                <w:b w:val="0"/>
                <w:sz w:val="18"/>
              </w:rPr>
              <w:t>Runs Python in a browser without a local Python setup.</w:t>
            </w:r>
          </w:p>
        </w:tc>
      </w:tr>
      <w:tr>
        <w:tc>
          <w:tcPr>
            <w:tcW w:type="dxa" w:w="1944"/>
            <w:vAlign w:val="center"/>
          </w:tcPr>
          <w:p>
            <w:pPr>
              <w:spacing w:after="0"/>
            </w:pPr>
            <w:r/>
            <w:r>
              <w:rPr>
                <w:b w:val="0"/>
                <w:sz w:val="18"/>
              </w:rPr>
              <w:t>Matplotlib / Seaborn (optional)</w:t>
            </w:r>
          </w:p>
        </w:tc>
        <w:tc>
          <w:tcPr>
            <w:tcW w:type="dxa" w:w="3888"/>
            <w:vAlign w:val="center"/>
          </w:tcPr>
          <w:p>
            <w:pPr>
              <w:spacing w:after="0"/>
            </w:pPr>
            <w:r/>
            <w:r>
              <w:rPr>
                <w:b w:val="0"/>
                <w:sz w:val="18"/>
              </w:rPr>
              <w:t>Can visualize distributions and outliers</w:t>
            </w:r>
          </w:p>
        </w:tc>
        <w:tc>
          <w:tcPr>
            <w:tcW w:type="dxa" w:w="4032"/>
            <w:vAlign w:val="center"/>
          </w:tcPr>
          <w:p>
            <w:pPr>
              <w:spacing w:after="0"/>
            </w:pPr>
            <w:r/>
            <w:r>
              <w:rPr>
                <w:b w:val="0"/>
                <w:sz w:val="18"/>
              </w:rPr>
              <w:t>Useful when a plot helps explain data quality; not required for the checks already performed.</w:t>
            </w:r>
          </w:p>
        </w:tc>
      </w:tr>
    </w:tbl>
    <w:p/>
    <w:p>
      <w:pPr>
        <w:pStyle w:val="Heading1"/>
      </w:pPr>
      <w:r>
        <w:t>6. Data Quality Checks and Observed Results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F4E78"/>
          </w:tcPr>
          <w:p>
            <w:pPr>
              <w:spacing w:after="0"/>
            </w:pPr>
            <w:r/>
            <w:r>
              <w:rPr>
                <w:b/>
                <w:color w:val="FFFFFF"/>
                <w:sz w:val="18"/>
              </w:rPr>
              <w:t>Check</w:t>
            </w:r>
          </w:p>
        </w:tc>
        <w:tc>
          <w:tcPr>
            <w:tcW w:type="dxa" w:w="2088"/>
            <w:vAlign w:val="center"/>
            <w:shd w:fill="1F4E78"/>
          </w:tcPr>
          <w:p>
            <w:pPr>
              <w:spacing w:after="0"/>
            </w:pPr>
            <w:r/>
            <w:r>
              <w:rPr>
                <w:b/>
                <w:color w:val="FFFFFF"/>
                <w:sz w:val="18"/>
              </w:rPr>
              <w:t>Observed result</w:t>
            </w:r>
          </w:p>
        </w:tc>
        <w:tc>
          <w:tcPr>
            <w:tcW w:type="dxa" w:w="5184"/>
            <w:vAlign w:val="center"/>
            <w:shd w:fill="1F4E78"/>
          </w:tcPr>
          <w:p>
            <w:pPr>
              <w:spacing w:after="0"/>
            </w:pPr>
            <w:r/>
            <w:r>
              <w:rPr>
                <w:b/>
                <w:color w:val="FFFFFF"/>
                <w:sz w:val="18"/>
              </w:rPr>
              <w:t>Interpretation</w:t>
            </w:r>
          </w:p>
        </w:tc>
      </w:tr>
      <w:tr>
        <w:tc>
          <w:tcPr>
            <w:tcW w:type="dxa" w:w="2592"/>
            <w:vAlign w:val="center"/>
          </w:tcPr>
          <w:p>
            <w:pPr>
              <w:spacing w:after="0"/>
            </w:pPr>
            <w:r/>
            <w:r>
              <w:rPr>
                <w:b w:val="0"/>
                <w:sz w:val="18"/>
              </w:rPr>
              <w:t>Dataset dimensions</w:t>
            </w:r>
          </w:p>
        </w:tc>
        <w:tc>
          <w:tcPr>
            <w:tcW w:type="dxa" w:w="2088"/>
            <w:vAlign w:val="center"/>
          </w:tcPr>
          <w:p>
            <w:pPr>
              <w:spacing w:after="0"/>
            </w:pPr>
            <w:r/>
            <w:r>
              <w:rPr>
                <w:b w:val="0"/>
                <w:sz w:val="18"/>
              </w:rPr>
              <w:t>100 rows × 7 columns</w:t>
            </w:r>
          </w:p>
        </w:tc>
        <w:tc>
          <w:tcPr>
            <w:tcW w:type="dxa" w:w="5184"/>
            <w:vAlign w:val="center"/>
          </w:tcPr>
          <w:p>
            <w:pPr>
              <w:spacing w:after="0"/>
            </w:pPr>
            <w:r/>
            <w:r>
              <w:rPr>
                <w:b w:val="0"/>
                <w:sz w:val="18"/>
              </w:rPr>
              <w:t>Expected structure loaded successfully.</w:t>
            </w:r>
          </w:p>
        </w:tc>
      </w:tr>
      <w:tr>
        <w:tc>
          <w:tcPr>
            <w:tcW w:type="dxa" w:w="2592"/>
            <w:vAlign w:val="center"/>
          </w:tcPr>
          <w:p>
            <w:pPr>
              <w:spacing w:after="0"/>
            </w:pPr>
            <w:r/>
            <w:r>
              <w:rPr>
                <w:b w:val="0"/>
                <w:sz w:val="18"/>
              </w:rPr>
              <w:t>Missing values before cleaning</w:t>
            </w:r>
          </w:p>
        </w:tc>
        <w:tc>
          <w:tcPr>
            <w:tcW w:type="dxa" w:w="2088"/>
            <w:vAlign w:val="center"/>
          </w:tcPr>
          <w:p>
            <w:pPr>
              <w:spacing w:after="0"/>
            </w:pPr>
            <w:r/>
            <w:r>
              <w:rPr>
                <w:b w:val="0"/>
                <w:sz w:val="18"/>
              </w:rPr>
              <w:t>0</w:t>
            </w:r>
          </w:p>
        </w:tc>
        <w:tc>
          <w:tcPr>
            <w:tcW w:type="dxa" w:w="5184"/>
            <w:vAlign w:val="center"/>
          </w:tcPr>
          <w:p>
            <w:pPr>
              <w:spacing w:after="0"/>
            </w:pPr>
            <w:r/>
            <w:r>
              <w:rPr>
                <w:b w:val="0"/>
                <w:sz w:val="18"/>
              </w:rPr>
              <w:t>No missing cells were reported in the source data.</w:t>
            </w:r>
          </w:p>
        </w:tc>
      </w:tr>
      <w:tr>
        <w:tc>
          <w:tcPr>
            <w:tcW w:type="dxa" w:w="2592"/>
            <w:vAlign w:val="center"/>
          </w:tcPr>
          <w:p>
            <w:pPr>
              <w:spacing w:after="0"/>
            </w:pPr>
            <w:r/>
            <w:r>
              <w:rPr>
                <w:b w:val="0"/>
                <w:sz w:val="18"/>
              </w:rPr>
              <w:t>Exact duplicate rows</w:t>
            </w:r>
          </w:p>
        </w:tc>
        <w:tc>
          <w:tcPr>
            <w:tcW w:type="dxa" w:w="2088"/>
            <w:vAlign w:val="center"/>
          </w:tcPr>
          <w:p>
            <w:pPr>
              <w:spacing w:after="0"/>
            </w:pPr>
            <w:r/>
            <w:r>
              <w:rPr>
                <w:b w:val="0"/>
                <w:sz w:val="18"/>
              </w:rPr>
              <w:t>0</w:t>
            </w:r>
          </w:p>
        </w:tc>
        <w:tc>
          <w:tcPr>
            <w:tcW w:type="dxa" w:w="5184"/>
            <w:vAlign w:val="center"/>
          </w:tcPr>
          <w:p>
            <w:pPr>
              <w:spacing w:after="0"/>
            </w:pPr>
            <w:r/>
            <w:r>
              <w:rPr>
                <w:b w:val="0"/>
                <w:sz w:val="18"/>
              </w:rPr>
              <w:t>No exact duplicate records were detected.</w:t>
            </w:r>
          </w:p>
        </w:tc>
      </w:tr>
      <w:tr>
        <w:tc>
          <w:tcPr>
            <w:tcW w:type="dxa" w:w="2592"/>
            <w:vAlign w:val="center"/>
          </w:tcPr>
          <w:p>
            <w:pPr>
              <w:spacing w:after="0"/>
            </w:pPr>
            <w:r/>
            <w:r>
              <w:rPr>
                <w:b w:val="0"/>
                <w:sz w:val="18"/>
              </w:rPr>
              <w:t>Duplicate appointment IDs</w:t>
            </w:r>
          </w:p>
        </w:tc>
        <w:tc>
          <w:tcPr>
            <w:tcW w:type="dxa" w:w="2088"/>
            <w:vAlign w:val="center"/>
          </w:tcPr>
          <w:p>
            <w:pPr>
              <w:spacing w:after="0"/>
            </w:pPr>
            <w:r/>
            <w:r>
              <w:rPr>
                <w:b w:val="0"/>
                <w:sz w:val="18"/>
              </w:rPr>
              <w:t>0</w:t>
            </w:r>
          </w:p>
        </w:tc>
        <w:tc>
          <w:tcPr>
            <w:tcW w:type="dxa" w:w="5184"/>
            <w:vAlign w:val="center"/>
          </w:tcPr>
          <w:p>
            <w:pPr>
              <w:spacing w:after="0"/>
            </w:pPr>
            <w:r/>
            <w:r>
              <w:rPr>
                <w:b w:val="0"/>
                <w:sz w:val="18"/>
              </w:rPr>
              <w:t>No repeated appointment IDs were detected.</w:t>
            </w:r>
          </w:p>
        </w:tc>
      </w:tr>
      <w:tr>
        <w:tc>
          <w:tcPr>
            <w:tcW w:type="dxa" w:w="2592"/>
            <w:vAlign w:val="center"/>
          </w:tcPr>
          <w:p>
            <w:pPr>
              <w:spacing w:after="0"/>
            </w:pPr>
            <w:r/>
            <w:r>
              <w:rPr>
                <w:b w:val="0"/>
                <w:sz w:val="18"/>
              </w:rPr>
              <w:t>Missing values after conversion</w:t>
            </w:r>
          </w:p>
        </w:tc>
        <w:tc>
          <w:tcPr>
            <w:tcW w:type="dxa" w:w="2088"/>
            <w:vAlign w:val="center"/>
          </w:tcPr>
          <w:p>
            <w:pPr>
              <w:spacing w:after="0"/>
            </w:pPr>
            <w:r/>
            <w:r>
              <w:rPr>
                <w:b w:val="0"/>
                <w:sz w:val="18"/>
              </w:rPr>
              <w:t>0</w:t>
            </w:r>
          </w:p>
        </w:tc>
        <w:tc>
          <w:tcPr>
            <w:tcW w:type="dxa" w:w="5184"/>
            <w:vAlign w:val="center"/>
          </w:tcPr>
          <w:p>
            <w:pPr>
              <w:spacing w:after="0"/>
            </w:pPr>
            <w:r/>
            <w:r>
              <w:rPr>
                <w:b w:val="0"/>
                <w:sz w:val="18"/>
              </w:rPr>
              <w:t>No values became missing during date/time/numeric conversion.</w:t>
            </w:r>
          </w:p>
        </w:tc>
      </w:tr>
      <w:tr>
        <w:tc>
          <w:tcPr>
            <w:tcW w:type="dxa" w:w="2592"/>
            <w:vAlign w:val="center"/>
          </w:tcPr>
          <w:p>
            <w:pPr>
              <w:spacing w:after="0"/>
            </w:pPr>
            <w:r/>
            <w:r>
              <w:rPr>
                <w:b w:val="0"/>
                <w:sz w:val="18"/>
              </w:rPr>
              <w:t>Invalid prices</w:t>
            </w:r>
          </w:p>
        </w:tc>
        <w:tc>
          <w:tcPr>
            <w:tcW w:type="dxa" w:w="2088"/>
            <w:vAlign w:val="center"/>
          </w:tcPr>
          <w:p>
            <w:pPr>
              <w:spacing w:after="0"/>
            </w:pPr>
            <w:r/>
            <w:r>
              <w:rPr>
                <w:b w:val="0"/>
                <w:sz w:val="18"/>
              </w:rPr>
              <w:t>0</w:t>
            </w:r>
          </w:p>
        </w:tc>
        <w:tc>
          <w:tcPr>
            <w:tcW w:type="dxa" w:w="5184"/>
            <w:vAlign w:val="center"/>
          </w:tcPr>
          <w:p>
            <w:pPr>
              <w:spacing w:after="0"/>
            </w:pPr>
            <w:r/>
            <w:r>
              <w:rPr>
                <w:b w:val="0"/>
                <w:sz w:val="18"/>
              </w:rPr>
              <w:t>No missing, unparseable, or non-positive prices were detected.</w:t>
            </w:r>
          </w:p>
        </w:tc>
      </w:tr>
      <w:tr>
        <w:tc>
          <w:tcPr>
            <w:tcW w:type="dxa" w:w="2592"/>
            <w:vAlign w:val="center"/>
          </w:tcPr>
          <w:p>
            <w:pPr>
              <w:spacing w:after="0"/>
            </w:pPr>
            <w:r/>
            <w:r>
              <w:rPr>
                <w:b w:val="0"/>
                <w:sz w:val="18"/>
              </w:rPr>
              <w:t>Potential price outliers (IQR)</w:t>
            </w:r>
          </w:p>
        </w:tc>
        <w:tc>
          <w:tcPr>
            <w:tcW w:type="dxa" w:w="2088"/>
            <w:vAlign w:val="center"/>
          </w:tcPr>
          <w:p>
            <w:pPr>
              <w:spacing w:after="0"/>
            </w:pPr>
            <w:r/>
            <w:r>
              <w:rPr>
                <w:b w:val="0"/>
                <w:sz w:val="18"/>
              </w:rPr>
              <w:t>0</w:t>
            </w:r>
          </w:p>
        </w:tc>
        <w:tc>
          <w:tcPr>
            <w:tcW w:type="dxa" w:w="5184"/>
            <w:vAlign w:val="center"/>
          </w:tcPr>
          <w:p>
            <w:pPr>
              <w:spacing w:after="0"/>
            </w:pPr>
            <w:r/>
            <w:r>
              <w:rPr>
                <w:b w:val="0"/>
                <w:sz w:val="18"/>
              </w:rPr>
              <w:t>No prices fell outside the calculated IQR bounds.</w:t>
            </w:r>
          </w:p>
        </w:tc>
      </w:tr>
      <w:tr>
        <w:tc>
          <w:tcPr>
            <w:tcW w:type="dxa" w:w="2592"/>
            <w:vAlign w:val="center"/>
          </w:tcPr>
          <w:p>
            <w:pPr>
              <w:spacing w:after="0"/>
            </w:pPr>
            <w:r/>
            <w:r>
              <w:rPr>
                <w:b w:val="0"/>
                <w:sz w:val="18"/>
              </w:rPr>
              <w:t>Final dimensions</w:t>
            </w:r>
          </w:p>
        </w:tc>
        <w:tc>
          <w:tcPr>
            <w:tcW w:type="dxa" w:w="2088"/>
            <w:vAlign w:val="center"/>
          </w:tcPr>
          <w:p>
            <w:pPr>
              <w:spacing w:after="0"/>
            </w:pPr>
            <w:r/>
            <w:r>
              <w:rPr>
                <w:b w:val="0"/>
                <w:sz w:val="18"/>
              </w:rPr>
              <w:t>100 rows × 7 columns</w:t>
            </w:r>
          </w:p>
        </w:tc>
        <w:tc>
          <w:tcPr>
            <w:tcW w:type="dxa" w:w="5184"/>
            <w:vAlign w:val="center"/>
          </w:tcPr>
          <w:p>
            <w:pPr>
              <w:spacing w:after="0"/>
            </w:pPr>
            <w:r/>
            <w:r>
              <w:rPr>
                <w:b w:val="0"/>
                <w:sz w:val="18"/>
              </w:rPr>
              <w:t>All records were retained.</w:t>
            </w:r>
          </w:p>
        </w:tc>
      </w:tr>
    </w:tbl>
    <w:p/>
    <w:p>
      <w:pPr>
        <w:pStyle w:val="Heading1"/>
      </w:pPr>
      <w:r>
        <w:t>7. Step-by-Step Cleaning Methodology</w:t>
      </w:r>
    </w:p>
    <w:p>
      <w:pPr>
        <w:pStyle w:val="Heading2"/>
      </w:pPr>
      <w:r>
        <w:t>7.1 Load the data</w:t>
      </w:r>
    </w:p>
    <w:p>
      <w:r>
        <w:t>Use pandas.read_csv() to load the CSV and print the shape and first rows. This confirms that the file can be read and provides an initial overview.</w:t>
      </w:r>
    </w:p>
    <w:p>
      <w:pPr>
        <w:pStyle w:val="Heading2"/>
      </w:pPr>
      <w:r>
        <w:t>7.2 Inspect types and completeness</w:t>
      </w:r>
    </w:p>
    <w:p>
      <w:r>
        <w:t>Use df.dtypes and df.isna().sum() to identify fields stored as text and check whether values are missing. The source had no missing cells.</w:t>
      </w:r>
    </w:p>
    <w:p>
      <w:pPr>
        <w:pStyle w:val="Heading2"/>
      </w:pPr>
      <w:r>
        <w:t>7.3 Check duplicates</w:t>
      </w:r>
    </w:p>
    <w:p>
      <w:r>
        <w:t>Use df.duplicated().sum() for fully duplicated rows and appointment_id.duplicated().sum() for repeated appointment identifiers. Duplicate IDs should be investigated because they may violate the one-row-per-appointment rule.</w:t>
      </w:r>
    </w:p>
    <w:p>
      <w:pPr>
        <w:pStyle w:val="Heading2"/>
      </w:pPr>
      <w:r>
        <w:t>7.4 Standardize text</w:t>
      </w:r>
    </w:p>
    <w:p>
      <w:r>
        <w:t>Trim leading and trailing whitespace from service_name, customer_id, and staff_member_id. Trimming is safe for these fields; IDs remain text to preserve their formatting.</w:t>
      </w:r>
    </w:p>
    <w:p>
      <w:pPr>
        <w:pStyle w:val="Heading2"/>
      </w:pPr>
      <w:r>
        <w:t>7.5 Parse dates</w:t>
      </w:r>
    </w:p>
    <w:p>
      <w:r>
        <w:t>Convert appointment_date using the expected day-month-year format. errors='coerce' makes invalid values detectable as missing values, so they can be reviewed rather than silently accepted.</w:t>
      </w:r>
    </w:p>
    <w:p>
      <w:pPr>
        <w:pStyle w:val="Heading2"/>
      </w:pPr>
      <w:r>
        <w:t>7.6 Standardize times</w:t>
      </w:r>
    </w:p>
    <w:p>
      <w:r>
        <w:t>Parse appointment_time using a 24-hour hour:minute format and output a consistent HH:MM representation. Invalid times should be investigated.</w:t>
      </w:r>
    </w:p>
    <w:p>
      <w:pPr>
        <w:pStyle w:val="Heading2"/>
      </w:pPr>
      <w:r>
        <w:t>7.7 Validate prices</w:t>
      </w:r>
    </w:p>
    <w:p>
      <w:r>
        <w:t>Convert price to numeric and flag values that are missing or less than/equal to zero. The actual dataset had no invalid prices.</w:t>
      </w:r>
    </w:p>
    <w:p>
      <w:pPr>
        <w:pStyle w:val="Heading2"/>
      </w:pPr>
      <w:r>
        <w:t>7.8 Detect potential outliers</w:t>
      </w:r>
    </w:p>
    <w:p>
      <w:r>
        <w:t>Calculate Q1, Q3, and IQR = Q3 − Q1. Values below Q1 − 1.5×IQR or above Q3 + 1.5×IQR are flagged for review. The observed run flagged no prices.</w:t>
      </w:r>
    </w:p>
    <w:p>
      <w:pPr>
        <w:pStyle w:val="Heading2"/>
      </w:pPr>
      <w:r>
        <w:t>7.9 Export and validate</w:t>
      </w:r>
    </w:p>
    <w:p>
      <w:r>
        <w:t>Save the processed DataFrame as cleaned_salon_appointments.csv, then re-check shape, missing values, duplicates, and expected columns.</w:t>
      </w:r>
    </w:p>
    <w:p>
      <w:pPr>
        <w:pStyle w:val="Heading1"/>
      </w:pPr>
      <w:r>
        <w:t>8. Handling Common Problems in Future Data</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F4E78"/>
          </w:tcPr>
          <w:p>
            <w:pPr>
              <w:spacing w:after="0"/>
            </w:pPr>
            <w:r/>
            <w:r>
              <w:rPr>
                <w:b/>
                <w:color w:val="FFFFFF"/>
                <w:sz w:val="18"/>
              </w:rPr>
              <w:t>Issue</w:t>
            </w:r>
          </w:p>
        </w:tc>
        <w:tc>
          <w:tcPr>
            <w:tcW w:type="dxa" w:w="4032"/>
            <w:vAlign w:val="center"/>
            <w:shd w:fill="1F4E78"/>
          </w:tcPr>
          <w:p>
            <w:pPr>
              <w:spacing w:after="0"/>
            </w:pPr>
            <w:r/>
            <w:r>
              <w:rPr>
                <w:b/>
                <w:color w:val="FFFFFF"/>
                <w:sz w:val="18"/>
              </w:rPr>
              <w:t>Recommended handling</w:t>
            </w:r>
          </w:p>
        </w:tc>
        <w:tc>
          <w:tcPr>
            <w:tcW w:type="dxa" w:w="3744"/>
            <w:vAlign w:val="center"/>
            <w:shd w:fill="1F4E78"/>
          </w:tcPr>
          <w:p>
            <w:pPr>
              <w:spacing w:after="0"/>
            </w:pPr>
            <w:r/>
            <w:r>
              <w:rPr>
                <w:b/>
                <w:color w:val="FFFFFF"/>
                <w:sz w:val="18"/>
              </w:rPr>
              <w:t>Reason / caution</w:t>
            </w:r>
          </w:p>
        </w:tc>
      </w:tr>
      <w:tr>
        <w:tc>
          <w:tcPr>
            <w:tcW w:type="dxa" w:w="2088"/>
            <w:vAlign w:val="center"/>
          </w:tcPr>
          <w:p>
            <w:pPr>
              <w:spacing w:after="0"/>
            </w:pPr>
            <w:r/>
            <w:r>
              <w:rPr>
                <w:b w:val="0"/>
                <w:sz w:val="18"/>
              </w:rPr>
              <w:t>Missing price</w:t>
            </w:r>
          </w:p>
        </w:tc>
        <w:tc>
          <w:tcPr>
            <w:tcW w:type="dxa" w:w="4032"/>
            <w:vAlign w:val="center"/>
          </w:tcPr>
          <w:p>
            <w:pPr>
              <w:spacing w:after="0"/>
            </w:pPr>
            <w:r/>
            <w:r>
              <w:rPr>
                <w:b w:val="0"/>
                <w:sz w:val="18"/>
              </w:rPr>
              <w:t>Check source system or receipt; if unrecoverable, mark as missing and exclude from price calculations or use a justified imputation method.</w:t>
            </w:r>
          </w:p>
        </w:tc>
        <w:tc>
          <w:tcPr>
            <w:tcW w:type="dxa" w:w="3744"/>
            <w:vAlign w:val="center"/>
          </w:tcPr>
          <w:p>
            <w:pPr>
              <w:spacing w:after="0"/>
            </w:pPr>
            <w:r/>
            <w:r>
              <w:rPr>
                <w:b w:val="0"/>
                <w:sz w:val="18"/>
              </w:rPr>
              <w:t>Do not fill with zero because zero may be interpreted as a real price.</w:t>
            </w:r>
          </w:p>
        </w:tc>
      </w:tr>
      <w:tr>
        <w:tc>
          <w:tcPr>
            <w:tcW w:type="dxa" w:w="2088"/>
            <w:vAlign w:val="center"/>
          </w:tcPr>
          <w:p>
            <w:pPr>
              <w:spacing w:after="0"/>
            </w:pPr>
            <w:r/>
            <w:r>
              <w:rPr>
                <w:b w:val="0"/>
                <w:sz w:val="18"/>
              </w:rPr>
              <w:t>Missing customer/staff ID</w:t>
            </w:r>
          </w:p>
        </w:tc>
        <w:tc>
          <w:tcPr>
            <w:tcW w:type="dxa" w:w="4032"/>
            <w:vAlign w:val="center"/>
          </w:tcPr>
          <w:p>
            <w:pPr>
              <w:spacing w:after="0"/>
            </w:pPr>
            <w:r/>
            <w:r>
              <w:rPr>
                <w:b w:val="0"/>
                <w:sz w:val="18"/>
              </w:rPr>
              <w:t>Check the source record; retain an explicit unknown value only if the analysis supports it.</w:t>
            </w:r>
          </w:p>
        </w:tc>
        <w:tc>
          <w:tcPr>
            <w:tcW w:type="dxa" w:w="3744"/>
            <w:vAlign w:val="center"/>
          </w:tcPr>
          <w:p>
            <w:pPr>
              <w:spacing w:after="0"/>
            </w:pPr>
            <w:r/>
            <w:r>
              <w:rPr>
                <w:b w:val="0"/>
                <w:sz w:val="18"/>
              </w:rPr>
              <w:t>Do not invent identifiers.</w:t>
            </w:r>
          </w:p>
        </w:tc>
      </w:tr>
      <w:tr>
        <w:tc>
          <w:tcPr>
            <w:tcW w:type="dxa" w:w="2088"/>
            <w:vAlign w:val="center"/>
          </w:tcPr>
          <w:p>
            <w:pPr>
              <w:spacing w:after="0"/>
            </w:pPr>
            <w:r/>
            <w:r>
              <w:rPr>
                <w:b w:val="0"/>
                <w:sz w:val="18"/>
              </w:rPr>
              <w:t>Duplicate appointment</w:t>
            </w:r>
          </w:p>
        </w:tc>
        <w:tc>
          <w:tcPr>
            <w:tcW w:type="dxa" w:w="4032"/>
            <w:vAlign w:val="center"/>
          </w:tcPr>
          <w:p>
            <w:pPr>
              <w:spacing w:after="0"/>
            </w:pPr>
            <w:r/>
            <w:r>
              <w:rPr>
                <w:b w:val="0"/>
                <w:sz w:val="18"/>
              </w:rPr>
              <w:t>Use appointment ID and business rules to determine whether it is a duplicate or a legitimate reschedule/update.</w:t>
            </w:r>
          </w:p>
        </w:tc>
        <w:tc>
          <w:tcPr>
            <w:tcW w:type="dxa" w:w="3744"/>
            <w:vAlign w:val="center"/>
          </w:tcPr>
          <w:p>
            <w:pPr>
              <w:spacing w:after="0"/>
            </w:pPr>
            <w:r/>
            <w:r>
              <w:rPr>
                <w:b w:val="0"/>
                <w:sz w:val="18"/>
              </w:rPr>
              <w:t>Two similar appointments are not necessarily duplicates.</w:t>
            </w:r>
          </w:p>
        </w:tc>
      </w:tr>
      <w:tr>
        <w:tc>
          <w:tcPr>
            <w:tcW w:type="dxa" w:w="2088"/>
            <w:vAlign w:val="center"/>
          </w:tcPr>
          <w:p>
            <w:pPr>
              <w:spacing w:after="0"/>
            </w:pPr>
            <w:r/>
            <w:r>
              <w:rPr>
                <w:b w:val="0"/>
                <w:sz w:val="18"/>
              </w:rPr>
              <w:t>Inconsistent service labels</w:t>
            </w:r>
          </w:p>
        </w:tc>
        <w:tc>
          <w:tcPr>
            <w:tcW w:type="dxa" w:w="4032"/>
            <w:vAlign w:val="center"/>
          </w:tcPr>
          <w:p>
            <w:pPr>
              <w:spacing w:after="0"/>
            </w:pPr>
            <w:r/>
            <w:r>
              <w:rPr>
                <w:b w:val="0"/>
                <w:sz w:val="18"/>
              </w:rPr>
              <w:t>Trim whitespace and map known variants to a controlled category list.</w:t>
            </w:r>
          </w:p>
        </w:tc>
        <w:tc>
          <w:tcPr>
            <w:tcW w:type="dxa" w:w="3744"/>
            <w:vAlign w:val="center"/>
          </w:tcPr>
          <w:p>
            <w:pPr>
              <w:spacing w:after="0"/>
            </w:pPr>
            <w:r/>
            <w:r>
              <w:rPr>
                <w:b w:val="0"/>
                <w:sz w:val="18"/>
              </w:rPr>
              <w:t>Do not merge genuinely different services.</w:t>
            </w:r>
          </w:p>
        </w:tc>
      </w:tr>
      <w:tr>
        <w:tc>
          <w:tcPr>
            <w:tcW w:type="dxa" w:w="2088"/>
            <w:vAlign w:val="center"/>
          </w:tcPr>
          <w:p>
            <w:pPr>
              <w:spacing w:after="0"/>
            </w:pPr>
            <w:r/>
            <w:r>
              <w:rPr>
                <w:b w:val="0"/>
                <w:sz w:val="18"/>
              </w:rPr>
              <w:t>Invalid date/time</w:t>
            </w:r>
          </w:p>
        </w:tc>
        <w:tc>
          <w:tcPr>
            <w:tcW w:type="dxa" w:w="4032"/>
            <w:vAlign w:val="center"/>
          </w:tcPr>
          <w:p>
            <w:pPr>
              <w:spacing w:after="0"/>
            </w:pPr>
            <w:r/>
            <w:r>
              <w:rPr>
                <w:b w:val="0"/>
                <w:sz w:val="18"/>
              </w:rPr>
              <w:t>Parse with explicit formats and inspect failed records against the source.</w:t>
            </w:r>
          </w:p>
        </w:tc>
        <w:tc>
          <w:tcPr>
            <w:tcW w:type="dxa" w:w="3744"/>
            <w:vAlign w:val="center"/>
          </w:tcPr>
          <w:p>
            <w:pPr>
              <w:spacing w:after="0"/>
            </w:pPr>
            <w:r/>
            <w:r>
              <w:rPr>
                <w:b w:val="0"/>
                <w:sz w:val="18"/>
              </w:rPr>
              <w:t>Do not guess a date or time without evidence.</w:t>
            </w:r>
          </w:p>
        </w:tc>
      </w:tr>
      <w:tr>
        <w:tc>
          <w:tcPr>
            <w:tcW w:type="dxa" w:w="2088"/>
            <w:vAlign w:val="center"/>
          </w:tcPr>
          <w:p>
            <w:pPr>
              <w:spacing w:after="0"/>
            </w:pPr>
            <w:r/>
            <w:r>
              <w:rPr>
                <w:b w:val="0"/>
                <w:sz w:val="18"/>
              </w:rPr>
              <w:t>Unusual price</w:t>
            </w:r>
          </w:p>
        </w:tc>
        <w:tc>
          <w:tcPr>
            <w:tcW w:type="dxa" w:w="4032"/>
            <w:vAlign w:val="center"/>
          </w:tcPr>
          <w:p>
            <w:pPr>
              <w:spacing w:after="0"/>
            </w:pPr>
            <w:r/>
            <w:r>
              <w:rPr>
                <w:b w:val="0"/>
                <w:sz w:val="18"/>
              </w:rPr>
              <w:t>Compare with service type, business pricing rules, and source records before deciding to retain, correct, or exclude.</w:t>
            </w:r>
          </w:p>
        </w:tc>
        <w:tc>
          <w:tcPr>
            <w:tcW w:type="dxa" w:w="3744"/>
            <w:vAlign w:val="center"/>
          </w:tcPr>
          <w:p>
            <w:pPr>
              <w:spacing w:after="0"/>
            </w:pPr>
            <w:r/>
            <w:r>
              <w:rPr>
                <w:b w:val="0"/>
                <w:sz w:val="18"/>
              </w:rPr>
              <w:t>An outlier may be a legitimate premium service.</w:t>
            </w:r>
          </w:p>
        </w:tc>
      </w:tr>
      <w:tr>
        <w:tc>
          <w:tcPr>
            <w:tcW w:type="dxa" w:w="2088"/>
            <w:vAlign w:val="center"/>
          </w:tcPr>
          <w:p>
            <w:pPr>
              <w:spacing w:after="0"/>
            </w:pPr>
            <w:r/>
            <w:r>
              <w:rPr>
                <w:b w:val="0"/>
                <w:sz w:val="18"/>
              </w:rPr>
              <w:t>Inconsistent units/formats</w:t>
            </w:r>
          </w:p>
        </w:tc>
        <w:tc>
          <w:tcPr>
            <w:tcW w:type="dxa" w:w="4032"/>
            <w:vAlign w:val="center"/>
          </w:tcPr>
          <w:p>
            <w:pPr>
              <w:spacing w:after="0"/>
            </w:pPr>
            <w:r/>
            <w:r>
              <w:rPr>
                <w:b w:val="0"/>
                <w:sz w:val="18"/>
              </w:rPr>
              <w:t>Agree on one date/time, currency, and measurement convention and document it.</w:t>
            </w:r>
          </w:p>
        </w:tc>
        <w:tc>
          <w:tcPr>
            <w:tcW w:type="dxa" w:w="3744"/>
            <w:vAlign w:val="center"/>
          </w:tcPr>
          <w:p>
            <w:pPr>
              <w:spacing w:after="0"/>
            </w:pPr>
            <w:r/>
            <w:r>
              <w:rPr>
                <w:b w:val="0"/>
                <w:sz w:val="18"/>
              </w:rPr>
              <w:t>Mixing currencies or formats can make comparisons invalid.</w:t>
            </w:r>
          </w:p>
        </w:tc>
      </w:tr>
    </w:tbl>
    <w:p/>
    <w:p>
      <w:pPr>
        <w:pStyle w:val="Heading1"/>
      </w:pPr>
      <w:r>
        <w:t>9. Outlier Detection Using IQR</w:t>
      </w:r>
    </w:p>
    <w:p>
      <w:r>
        <w:t>The Interquartile Range is IQR = Q3 − Q1, where Q1 is the 25th percentile and Q3 is the 75th percentile. The common screening bounds are Q1 − 1.5 × IQR and Q3 + 1.5 × IQR. Any value outside these bounds is a potential outlier, not automatically an error.</w:t>
      </w:r>
    </w:p>
    <w:p>
      <w:r>
        <w:t>For this dataset, the price distribution had minimum 15, median 40, and maximum 60. The IQR screening identified 0 potential outlier(s). Since none were flagged, no price was removed on the basis of IQR.</w:t>
      </w:r>
    </w:p>
    <w:p>
      <w:r>
        <w:t>Limitation: price values across different services may naturally vary. A stronger approach for larger datasets may calculate outliers within each service category, and compare unusual values with documented business price ranges.</w:t>
      </w:r>
    </w:p>
    <w:p>
      <w:pPr>
        <w:pStyle w:val="Heading1"/>
      </w:pPr>
      <w:r>
        <w:t>10. Pseudocode</w:t>
      </w:r>
    </w:p>
    <w:p>
      <w:r>
        <w:rPr>
          <w:rFonts w:ascii="Consolas" w:hAnsi="Consolas"/>
          <w:sz w:val="18"/>
        </w:rPr>
        <w:t>START</w:t>
        <w:br/>
        <w:t xml:space="preserve">  Read the appointment CSV file</w:t>
        <w:br/>
        <w:t xml:space="preserve">  Inspect row count, column names, data types, and missing values</w:t>
        <w:br/>
        <w:t xml:space="preserve">  Check exact duplicate rows and appointment-ID uniqueness</w:t>
        <w:br/>
        <w:t xml:space="preserve">  Make a working copy of the source data</w:t>
        <w:br/>
        <w:t xml:space="preserve">  Trim whitespace from text and identifier fields</w:t>
        <w:br/>
        <w:t xml:space="preserve">  Parse appointment dates and times using explicit formats</w:t>
        <w:br/>
        <w:t xml:space="preserve">  Convert prices to numeric values</w:t>
        <w:br/>
        <w:t xml:space="preserve">  Flag missing/unparseable values and non-positive prices</w:t>
        <w:br/>
        <w:t xml:space="preserve">  Calculate IQR bounds for price and flag potential outliers</w:t>
        <w:br/>
        <w:t xml:space="preserve">  Review flagged records; do not delete them automatically</w:t>
        <w:br/>
        <w:t xml:space="preserve">  Save the processed dataset as a new CSV</w:t>
        <w:br/>
        <w:t xml:space="preserve">  Re-check dimensions, missing values, duplicates, and required columns</w:t>
        <w:br/>
        <w:t>END</w:t>
      </w:r>
    </w:p>
    <w:p>
      <w:pPr>
        <w:pStyle w:val="Heading1"/>
      </w:pPr>
      <w:r>
        <w:t>11. Flowchart of the Preprocessing Pipeline</w:t>
      </w:r>
    </w:p>
    <w:tbl>
      <w:tblPr>
        <w:tblW w:type="auto" w:w="0"/>
        <w:jc w:val="center"/>
        <w:tblLook w:firstColumn="1" w:firstRow="1" w:lastColumn="0" w:lastRow="0" w:noHBand="0" w:noVBand="1" w:val="04A0"/>
      </w:tblPr>
      <w:tblGrid>
        <w:gridCol w:w="9936"/>
      </w:tblGrid>
      <w:tr>
        <w:tc>
          <w:tcPr>
            <w:tcW w:type="dxa" w:w="9936"/>
            <w:shd w:fill="EAF2F8"/>
          </w:tcPr>
          <w:p>
            <w:pPr>
              <w:spacing w:after="0"/>
              <w:jc w:val="center"/>
            </w:pPr>
            <w:r/>
            <w:r>
              <w:rPr>
                <w:b/>
                <w:color w:val="1F4E79"/>
                <w:sz w:val="20"/>
              </w:rPr>
              <w:t>1. Raw CSV</w:t>
            </w:r>
          </w:p>
          <w:p>
            <w:pPr>
              <w:spacing w:after="20"/>
              <w:jc w:val="center"/>
            </w:pPr>
            <w:r>
              <w:rPr>
                <w:sz w:val="18"/>
              </w:rPr>
              <w:t>Original appointment records</w:t>
            </w:r>
          </w:p>
        </w:tc>
      </w:tr>
      <w:tr>
        <w:tc>
          <w:tcPr>
            <w:tcW w:type="dxa" w:w="9936"/>
            <w:vAlign w:val="center"/>
          </w:tcPr>
          <w:p>
            <w:pPr>
              <w:spacing w:after="0"/>
              <w:jc w:val="center"/>
            </w:pPr>
            <w:r/>
            <w:r>
              <w:rPr>
                <w:b/>
                <w:color w:val="ED7D31"/>
                <w:sz w:val="28"/>
              </w:rPr>
              <w:t>↓</w:t>
            </w:r>
          </w:p>
        </w:tc>
      </w:tr>
      <w:tr>
        <w:tc>
          <w:tcPr>
            <w:tcW w:type="dxa" w:w="9936"/>
            <w:shd w:fill="EAF2F8"/>
          </w:tcPr>
          <w:p>
            <w:pPr>
              <w:spacing w:after="0"/>
              <w:jc w:val="center"/>
            </w:pPr>
            <w:r/>
            <w:r>
              <w:rPr>
                <w:b/>
                <w:color w:val="1F4E79"/>
                <w:sz w:val="20"/>
              </w:rPr>
              <w:t>2. Load and inspect</w:t>
            </w:r>
          </w:p>
          <w:p>
            <w:pPr>
              <w:spacing w:after="20"/>
              <w:jc w:val="center"/>
            </w:pPr>
            <w:r>
              <w:rPr>
                <w:sz w:val="18"/>
              </w:rPr>
              <w:t>Shape, column names, data types</w:t>
            </w:r>
          </w:p>
        </w:tc>
      </w:tr>
      <w:tr>
        <w:tc>
          <w:tcPr>
            <w:tcW w:type="dxa" w:w="9936"/>
            <w:vAlign w:val="center"/>
          </w:tcPr>
          <w:p>
            <w:pPr>
              <w:spacing w:after="0"/>
              <w:jc w:val="center"/>
            </w:pPr>
            <w:r/>
            <w:r>
              <w:rPr>
                <w:b/>
                <w:color w:val="ED7D31"/>
                <w:sz w:val="28"/>
              </w:rPr>
              <w:t>↓</w:t>
            </w:r>
          </w:p>
        </w:tc>
      </w:tr>
      <w:tr>
        <w:tc>
          <w:tcPr>
            <w:tcW w:type="dxa" w:w="9936"/>
            <w:shd w:fill="EAF2F8"/>
          </w:tcPr>
          <w:p>
            <w:pPr>
              <w:spacing w:after="0"/>
              <w:jc w:val="center"/>
            </w:pPr>
            <w:r/>
            <w:r>
              <w:rPr>
                <w:b/>
                <w:color w:val="1F4E79"/>
                <w:sz w:val="20"/>
              </w:rPr>
              <w:t>3. Quality checks</w:t>
            </w:r>
          </w:p>
          <w:p>
            <w:pPr>
              <w:spacing w:after="20"/>
              <w:jc w:val="center"/>
            </w:pPr>
            <w:r>
              <w:rPr>
                <w:sz w:val="18"/>
              </w:rPr>
              <w:t>Missing values and duplicates</w:t>
            </w:r>
          </w:p>
        </w:tc>
      </w:tr>
      <w:tr>
        <w:tc>
          <w:tcPr>
            <w:tcW w:type="dxa" w:w="9936"/>
            <w:vAlign w:val="center"/>
          </w:tcPr>
          <w:p>
            <w:pPr>
              <w:spacing w:after="0"/>
              <w:jc w:val="center"/>
            </w:pPr>
            <w:r/>
            <w:r>
              <w:rPr>
                <w:b/>
                <w:color w:val="ED7D31"/>
                <w:sz w:val="28"/>
              </w:rPr>
              <w:t>↓</w:t>
            </w:r>
          </w:p>
        </w:tc>
      </w:tr>
      <w:tr>
        <w:tc>
          <w:tcPr>
            <w:tcW w:type="dxa" w:w="9936"/>
            <w:shd w:fill="EAF2F8"/>
          </w:tcPr>
          <w:p>
            <w:pPr>
              <w:spacing w:after="0"/>
              <w:jc w:val="center"/>
            </w:pPr>
            <w:r/>
            <w:r>
              <w:rPr>
                <w:b/>
                <w:color w:val="1F4E79"/>
                <w:sz w:val="20"/>
              </w:rPr>
              <w:t>4. Standardize formats</w:t>
            </w:r>
          </w:p>
          <w:p>
            <w:pPr>
              <w:spacing w:after="20"/>
              <w:jc w:val="center"/>
            </w:pPr>
            <w:r>
              <w:rPr>
                <w:sz w:val="18"/>
              </w:rPr>
              <w:t>Trim text; parse dates and times</w:t>
            </w:r>
          </w:p>
        </w:tc>
      </w:tr>
      <w:tr>
        <w:tc>
          <w:tcPr>
            <w:tcW w:type="dxa" w:w="9936"/>
            <w:vAlign w:val="center"/>
          </w:tcPr>
          <w:p>
            <w:pPr>
              <w:spacing w:after="0"/>
              <w:jc w:val="center"/>
            </w:pPr>
            <w:r/>
            <w:r>
              <w:rPr>
                <w:b/>
                <w:color w:val="ED7D31"/>
                <w:sz w:val="28"/>
              </w:rPr>
              <w:t>↓</w:t>
            </w:r>
          </w:p>
        </w:tc>
      </w:tr>
      <w:tr>
        <w:tc>
          <w:tcPr>
            <w:tcW w:type="dxa" w:w="9936"/>
            <w:shd w:fill="EAF2F8"/>
          </w:tcPr>
          <w:p>
            <w:pPr>
              <w:spacing w:after="0"/>
              <w:jc w:val="center"/>
            </w:pPr>
            <w:r/>
            <w:r>
              <w:rPr>
                <w:b/>
                <w:color w:val="1F4E79"/>
                <w:sz w:val="20"/>
              </w:rPr>
              <w:t>5. Validate values</w:t>
            </w:r>
          </w:p>
          <w:p>
            <w:pPr>
              <w:spacing w:after="20"/>
              <w:jc w:val="center"/>
            </w:pPr>
            <w:r>
              <w:rPr>
                <w:sz w:val="18"/>
              </w:rPr>
              <w:t>Numeric prices, IDs, business rules</w:t>
            </w:r>
          </w:p>
        </w:tc>
      </w:tr>
      <w:tr>
        <w:tc>
          <w:tcPr>
            <w:tcW w:type="dxa" w:w="9936"/>
            <w:vAlign w:val="center"/>
          </w:tcPr>
          <w:p>
            <w:pPr>
              <w:spacing w:after="0"/>
              <w:jc w:val="center"/>
            </w:pPr>
            <w:r/>
            <w:r>
              <w:rPr>
                <w:b/>
                <w:color w:val="ED7D31"/>
                <w:sz w:val="28"/>
              </w:rPr>
              <w:t>↓</w:t>
            </w:r>
          </w:p>
        </w:tc>
      </w:tr>
      <w:tr>
        <w:tc>
          <w:tcPr>
            <w:tcW w:type="dxa" w:w="9936"/>
            <w:shd w:fill="EAF2F8"/>
          </w:tcPr>
          <w:p>
            <w:pPr>
              <w:spacing w:after="0"/>
              <w:jc w:val="center"/>
            </w:pPr>
            <w:r/>
            <w:r>
              <w:rPr>
                <w:b/>
                <w:color w:val="1F4E79"/>
                <w:sz w:val="20"/>
              </w:rPr>
              <w:t>6. Detect potential outliers</w:t>
            </w:r>
          </w:p>
          <w:p>
            <w:pPr>
              <w:spacing w:after="20"/>
              <w:jc w:val="center"/>
            </w:pPr>
            <w:r>
              <w:rPr>
                <w:sz w:val="18"/>
              </w:rPr>
              <w:t>IQR screening and manual review</w:t>
            </w:r>
          </w:p>
        </w:tc>
      </w:tr>
      <w:tr>
        <w:tc>
          <w:tcPr>
            <w:tcW w:type="dxa" w:w="9936"/>
            <w:vAlign w:val="center"/>
          </w:tcPr>
          <w:p>
            <w:pPr>
              <w:spacing w:after="0"/>
              <w:jc w:val="center"/>
            </w:pPr>
            <w:r/>
            <w:r>
              <w:rPr>
                <w:b/>
                <w:color w:val="ED7D31"/>
                <w:sz w:val="28"/>
              </w:rPr>
              <w:t>↓</w:t>
            </w:r>
          </w:p>
        </w:tc>
      </w:tr>
      <w:tr>
        <w:tc>
          <w:tcPr>
            <w:tcW w:type="dxa" w:w="9936"/>
            <w:shd w:fill="EAF2F8"/>
          </w:tcPr>
          <w:p>
            <w:pPr>
              <w:spacing w:after="0"/>
              <w:jc w:val="center"/>
            </w:pPr>
            <w:r/>
            <w:r>
              <w:rPr>
                <w:b/>
                <w:color w:val="1F4E79"/>
                <w:sz w:val="20"/>
              </w:rPr>
              <w:t>7. Export processed data</w:t>
            </w:r>
          </w:p>
          <w:p>
            <w:pPr>
              <w:spacing w:after="20"/>
              <w:jc w:val="center"/>
            </w:pPr>
            <w:r>
              <w:rPr>
                <w:sz w:val="18"/>
              </w:rPr>
              <w:t>Write a new cleaned CSV</w:t>
            </w:r>
          </w:p>
        </w:tc>
      </w:tr>
      <w:tr>
        <w:tc>
          <w:tcPr>
            <w:tcW w:type="dxa" w:w="9936"/>
            <w:vAlign w:val="center"/>
          </w:tcPr>
          <w:p>
            <w:pPr>
              <w:spacing w:after="0"/>
              <w:jc w:val="center"/>
            </w:pPr>
            <w:r/>
            <w:r>
              <w:rPr>
                <w:b/>
                <w:color w:val="ED7D31"/>
                <w:sz w:val="28"/>
              </w:rPr>
              <w:t>↓</w:t>
            </w:r>
          </w:p>
        </w:tc>
      </w:tr>
      <w:tr>
        <w:tc>
          <w:tcPr>
            <w:tcW w:type="dxa" w:w="9936"/>
            <w:shd w:fill="EAF2F8"/>
          </w:tcPr>
          <w:p>
            <w:pPr>
              <w:spacing w:after="0"/>
              <w:jc w:val="center"/>
            </w:pPr>
            <w:r/>
            <w:r>
              <w:rPr>
                <w:b/>
                <w:color w:val="1F4E79"/>
                <w:sz w:val="20"/>
              </w:rPr>
              <w:t>8. Final validation</w:t>
            </w:r>
          </w:p>
          <w:p>
            <w:pPr>
              <w:spacing w:after="20"/>
              <w:jc w:val="center"/>
            </w:pPr>
            <w:r>
              <w:rPr>
                <w:sz w:val="18"/>
              </w:rPr>
              <w:t>Check schema, missing values, and duplicates</w:t>
            </w:r>
          </w:p>
        </w:tc>
      </w:tr>
      <w:tr>
        <w:tc>
          <w:tcPr>
            <w:tcW w:type="dxa" w:w="9936"/>
            <w:vAlign w:val="center"/>
          </w:tcPr>
          <w:p>
            <w:pPr>
              <w:spacing w:after="0"/>
              <w:jc w:val="center"/>
            </w:pPr>
            <w:r/>
            <w:r>
              <w:rPr>
                <w:b/>
                <w:color w:val="ED7D31"/>
                <w:sz w:val="28"/>
              </w:rPr>
              <w:t>↓</w:t>
            </w:r>
          </w:p>
        </w:tc>
      </w:tr>
      <w:tr>
        <w:tc>
          <w:tcPr>
            <w:tcW w:type="dxa" w:w="9936"/>
            <w:shd w:fill="EAF2F8"/>
          </w:tcPr>
          <w:p>
            <w:pPr>
              <w:spacing w:after="0"/>
              <w:jc w:val="center"/>
            </w:pPr>
            <w:r/>
            <w:r>
              <w:rPr>
                <w:b/>
                <w:color w:val="1F4E79"/>
                <w:sz w:val="20"/>
              </w:rPr>
              <w:t>9. Ready for analysis</w:t>
            </w:r>
          </w:p>
          <w:p>
            <w:pPr>
              <w:spacing w:after="20"/>
              <w:jc w:val="center"/>
            </w:pPr>
            <w:r>
              <w:rPr>
                <w:sz w:val="18"/>
              </w:rPr>
              <w:t>Summaries, visualizations, or later modeling</w:t>
            </w:r>
          </w:p>
        </w:tc>
      </w:tr>
    </w:tbl>
    <w:p/>
    <w:p>
      <w:pPr>
        <w:pStyle w:val="Heading1"/>
      </w:pPr>
      <w:r>
        <w:t>12. Reproducibility and Documentation</w:t>
      </w:r>
    </w:p>
    <w:p>
      <w:pPr>
        <w:pStyle w:val="ListBullet"/>
      </w:pPr>
      <w:r>
        <w:t>Keep the original source CSV unchanged and write cleaned data to a separate file.</w:t>
      </w:r>
    </w:p>
    <w:p>
      <w:pPr>
        <w:pStyle w:val="ListBullet"/>
      </w:pPr>
      <w:r>
        <w:t>Record the input filename, cleaning date, Python/library versions, and any assumptions in the project README.</w:t>
      </w:r>
    </w:p>
    <w:p>
      <w:pPr>
        <w:pStyle w:val="ListBullet"/>
      </w:pPr>
      <w:r>
        <w:t>Use explicit date/time formats and consistent column names.</w:t>
      </w:r>
    </w:p>
    <w:p>
      <w:pPr>
        <w:pStyle w:val="ListBullet"/>
      </w:pPr>
      <w:r>
        <w:t>Keep code in a notebook or script so the steps can be rerun.</w:t>
      </w:r>
    </w:p>
    <w:p>
      <w:pPr>
        <w:pStyle w:val="ListBullet"/>
      </w:pPr>
      <w:r>
        <w:t>Report the number of records before and after processing.</w:t>
      </w:r>
    </w:p>
    <w:p>
      <w:pPr>
        <w:pStyle w:val="ListBullet"/>
      </w:pPr>
      <w:r>
        <w:t>Log the rows flagged by validation instead of silently deleting them.</w:t>
      </w:r>
    </w:p>
    <w:p>
      <w:pPr>
        <w:pStyle w:val="ListBullet"/>
      </w:pPr>
      <w:r>
        <w:t>For future model training, fit imputers and scalers on training data only to avoid data leakage.</w:t>
      </w:r>
    </w:p>
    <w:p>
      <w:pPr>
        <w:pStyle w:val="Heading1"/>
      </w:pPr>
      <w:r>
        <w:t>13. How Clean Data Supports Analysis and Modeling</w:t>
      </w:r>
    </w:p>
    <w:p>
      <w:r>
        <w:t>Consistent appointment dates allow time-based summaries such as appointments by week or month. Standardized service labels make service counts reliable. Valid prices support average-price and revenue calculations. Consistent customer and staff identifiers help group appointments by customer or staff member. Reliable values reduce avoidable errors in downstream charts and models.</w:t>
      </w:r>
    </w:p>
    <w:p>
      <w:r>
        <w:t>The current file contains only 100 synthetic records, so it is suitable for demonstrating preprocessing but is too limited to support strong claims about real-world trends. For prediction, additional useful fields could include appointment status, booking lead time, cancellations, service duration, discounts, customer feedback, and repeat-visit history—provided they are collected lawfully and appropriately.</w:t>
      </w:r>
    </w:p>
    <w:p>
      <w:pPr>
        <w:pStyle w:val="Heading1"/>
      </w:pPr>
      <w:r>
        <w:t>14. Potential Issues in Public Beauty &amp; Wellness Data</w:t>
      </w:r>
    </w:p>
    <w:p>
      <w:pPr>
        <w:pStyle w:val="ListBullet"/>
      </w:pPr>
      <w:r>
        <w:t>Different service names for the same service (for example, capitalization or spacing variants).</w:t>
      </w:r>
    </w:p>
    <w:p>
      <w:pPr>
        <w:pStyle w:val="ListBullet"/>
      </w:pPr>
      <w:r>
        <w:t>Prices without currency labels or with mixed currency conventions.</w:t>
      </w:r>
    </w:p>
    <w:p>
      <w:pPr>
        <w:pStyle w:val="ListBullet"/>
      </w:pPr>
      <w:r>
        <w:t>Dates recorded in different regional formats (day-month-year versus month-day-year).</w:t>
      </w:r>
    </w:p>
    <w:p>
      <w:pPr>
        <w:pStyle w:val="ListBullet"/>
      </w:pPr>
      <w:r>
        <w:t>Missing appointment outcomes, cancellation status, or service duration.</w:t>
      </w:r>
    </w:p>
    <w:p>
      <w:pPr>
        <w:pStyle w:val="ListBullet"/>
      </w:pPr>
      <w:r>
        <w:t>Repeated rows caused by exports or data merges.</w:t>
      </w:r>
    </w:p>
    <w:p>
      <w:pPr>
        <w:pStyle w:val="ListBullet"/>
      </w:pPr>
      <w:r>
        <w:t>Customer identifiers that are inconsistent, duplicated, or anonymized differently.</w:t>
      </w:r>
    </w:p>
    <w:p>
      <w:pPr>
        <w:pStyle w:val="ListBullet"/>
      </w:pPr>
      <w:r>
        <w:t>Small or biased samples that do not represent different locations, customer groups, or service types.</w:t>
      </w:r>
    </w:p>
    <w:p>
      <w:pPr>
        <w:pStyle w:val="ListBullet"/>
      </w:pPr>
      <w:r>
        <w:t>Privacy concerns in customer-level data; personal information should be minimized, protected, and used only with appropriate authorization.</w:t>
      </w:r>
    </w:p>
    <w:p>
      <w:pPr>
        <w:pStyle w:val="Heading1"/>
      </w:pPr>
      <w:r>
        <w:t>15. Limitations and Future Improvements</w:t>
      </w:r>
    </w:p>
    <w:p>
      <w:r>
        <w:t>This run performs checks and basic standardization, but it does not implement a universal imputation policy because the observed source contains no missing values. If future data contains missing values, the appropriate treatment will depend on the field and business context. Similarly, IQR outliers are flagged rather than removed automatically.</w:t>
      </w:r>
    </w:p>
    <w:p>
      <w:r>
        <w:t>Possible next improvements include a controlled vocabulary for service names, explicit validation rules for appointment IDs and price ranges, automated unit tests, a cleaning log with counts of changed/flagged values, and category-specific outlier review. The pipeline should also be tested on deliberately messy sample records before being used in production.</w:t>
      </w:r>
    </w:p>
    <w:p>
      <w:pPr>
        <w:pStyle w:val="Heading1"/>
      </w:pPr>
      <w:r>
        <w:t>16. Conclusion</w:t>
      </w:r>
    </w:p>
    <w:p>
      <w:r>
        <w:t>A documented preprocessing pipeline makes appointment data more consistent and easier to validate. In this run, 100 records and 7 columns were retained; no missing cells, exact duplicate rows, repeated appointment IDs, invalid prices, invalid converted dates/times, or IQR price outliers were detected. The processed CSV was saved separately from the original. The workflow is reproducible and provides a foundation for further exploratory analysis, while the synthetic and small dataset limits real-world conclusions.</w:t>
      </w:r>
    </w:p>
    <w:p>
      <w:pPr>
        <w:pStyle w:val="Heading1"/>
      </w:pPr>
      <w:r>
        <w:t>17. References and Documentation</w:t>
      </w:r>
    </w:p>
    <w:p>
      <w:pPr>
        <w:pStyle w:val="ListBullet"/>
      </w:pPr>
      <w:r>
        <w:t>Pandas documentation: https://pandas.pydata.org/docs/</w:t>
      </w:r>
    </w:p>
    <w:p>
      <w:pPr>
        <w:pStyle w:val="ListBullet"/>
      </w:pPr>
      <w:r>
        <w:t>NumPy documentation: https://numpy.org/doc/</w:t>
      </w:r>
    </w:p>
    <w:p>
      <w:pPr>
        <w:pStyle w:val="ListBullet"/>
      </w:pPr>
      <w:r>
        <w:t>Google Colab: https://colab.research.google.com/</w:t>
      </w:r>
    </w:p>
    <w:p>
      <w:pPr>
        <w:pStyle w:val="ListBullet"/>
      </w:pPr>
      <w:r>
        <w:t>Python documentation: https://docs.python.org/3/</w:t>
      </w:r>
    </w:p>
    <w:p>
      <w:pPr>
        <w:pStyle w:val="Heading1"/>
      </w:pPr>
      <w:r>
        <w:t>Appendix A: Core Python Code</w:t>
      </w:r>
    </w:p>
    <w:p>
      <w:r>
        <w:rPr>
          <w:rFonts w:ascii="Consolas" w:hAnsi="Consolas"/>
          <w:sz w:val="16"/>
        </w:rPr>
        <w:t>import pandas as pd</w:t>
        <w:br/>
        <w:t>from pathlib import Path</w:t>
        <w:br/>
        <w:br/>
        <w:t>input_file = Path("/content/salon_appointments_dummy.csv")</w:t>
        <w:br/>
        <w:t>output_file = Path("/content/cleaned_salon_appointments.csv")</w:t>
        <w:br/>
        <w:br/>
        <w:t>df = pd.read_csv(input_file)</w:t>
        <w:br/>
        <w:t>print("Original shape:", df.shape)</w:t>
        <w:br/>
        <w:t>print("Missing values before cleaning:\n", df.isna().sum())</w:t>
        <w:br/>
        <w:t>print("Exact duplicate rows:", df.duplicated().sum())</w:t>
        <w:br/>
        <w:t>print("Duplicate appointment IDs:", df["appointment_id"].duplicated().sum())</w:t>
        <w:br/>
        <w:br/>
        <w:t>cleaned_df = df.copy()</w:t>
        <w:br/>
        <w:br/>
        <w:t>for column in ["service_name", "customer_id", "staff_member_id"]:</w:t>
        <w:br/>
        <w:t xml:space="preserve">    cleaned_df[column] = cleaned_df[column].astype("string").str.strip()</w:t>
        <w:br/>
        <w:br/>
        <w:t>cleaned_df["appointment_date"] = pd.to_datetime(</w:t>
        <w:br/>
        <w:t xml:space="preserve">    cleaned_df["appointment_date"], format="%d-%m-%Y", errors="coerce"</w:t>
        <w:br/>
        <w:t>)</w:t>
        <w:br/>
        <w:t>cleaned_df["appointment_time"] = pd.to_datetime(</w:t>
        <w:br/>
        <w:t xml:space="preserve">    cleaned_df["appointment_time"], format="%H:%M", errors="coerce"</w:t>
        <w:br/>
        <w:t>).dt.strftime("%H:%M")</w:t>
        <w:br/>
        <w:t>cleaned_df["price"] = pd.to_numeric(cleaned_df["price"], errors="coerce")</w:t>
        <w:br/>
        <w:br/>
        <w:t>invalid_prices = cleaned_df["price"].isna() | (cleaned_df["price"] &lt;= 0)</w:t>
        <w:br/>
        <w:br/>
        <w:t>q1 = cleaned_df["price"].quantile(0.25)</w:t>
        <w:br/>
        <w:t>q3 = cleaned_df["price"].quantile(0.75)</w:t>
        <w:br/>
        <w:t>iqr = q3 - q1</w:t>
        <w:br/>
        <w:t>lower_bound = q1 - 1.5 * iqr</w:t>
        <w:br/>
        <w:t>upper_bound = q3 + 1.5 * iqr</w:t>
        <w:br/>
        <w:t>potential_outliers = cleaned_df[</w:t>
        <w:br/>
        <w:t xml:space="preserve">    (cleaned_df["price"] &lt; lower_bound) |</w:t>
        <w:br/>
        <w:t xml:space="preserve">    (cleaned_df["price"] &gt; upper_bound)</w:t>
        <w:br/>
        <w:t>]</w:t>
        <w:br/>
        <w:br/>
        <w:t>cleaned_df.to_csv(output_file, index=False)</w:t>
        <w:br/>
        <w:t>print("Final shape:", cleaned_df.shape)</w:t>
        <w:br/>
        <w:t>print("Missing values after conversion:\n", cleaned_df.isna().sum())</w:t>
        <w:br/>
        <w:t>print("Invalid prices:", int(invalid_prices.sum()))</w:t>
        <w:br/>
        <w:t>print("Potential price outliers:", len(potential_outliers))</w:t>
        <w:br/>
        <w:t>print("Saved to:", output_file)</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