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WEEK 4 TASK REPORT</w:t>
        <w:br/>
      </w:r>
      <w:r>
        <w:rPr>
          <w:b/>
          <w:sz w:val="28"/>
        </w:rPr>
        <w:t>Predictive Modeling and Optimization in Logistics Systems</w:t>
      </w:r>
    </w:p>
    <w:p>
      <w:pPr>
        <w:jc w:val="center"/>
      </w:pPr>
      <w:r>
        <w:t>Based on a simulated dataset of 500 shipment records.</w:t>
      </w:r>
    </w:p>
    <w:p>
      <w:pPr>
        <w:pStyle w:val="Heading1"/>
      </w:pPr>
      <w:r>
        <w:t>1. Executive Summary</w:t>
      </w:r>
    </w:p>
    <w:p>
      <w:r>
        <w:t>This project predicts delivery time in hours using distance, shipment weight, volume, transport mode, and transportation cost. The dataset has 500 rows and 8 columns, with 0 missing values and 0 duplicate rows. Three approaches were compared: a mean baseline, Linear Regression, and a Random Forest tuned using five-fold cross-validation on the training set. Based on training cross-validation MAE, the tuned Random Forest was selected for final consideration; however, on the held-out test set its MAE was 29.85 hours, while the mean baseline achieved 29.65 hours. This mismatch indicates that the models have limited predictive value and that further data collection is needed.</w:t>
      </w:r>
    </w:p>
    <w:p>
      <w:pPr>
        <w:pStyle w:val="Heading1"/>
      </w:pPr>
      <w:r>
        <w:t>2. Problem Definition</w:t>
      </w:r>
    </w:p>
    <w:p>
      <w:r>
        <w:t>Logistics teams benefit from estimates of delivery duration for planning, customer communication, and exception monitoring. The objective is to build a reproducible regression workflow, compare models fairly, and identify practical next steps for better logistics decisions. The current dataset is simulated, so findings are methodological demonstrations rather than real-world claims.</w:t>
      </w:r>
    </w:p>
    <w:p>
      <w:pPr>
        <w:pStyle w:val="Heading1"/>
      </w:pPr>
      <w:r>
        <w:t>3. Dataset and Variables</w:t>
      </w:r>
    </w:p>
    <w:p>
      <w:r>
        <w:t>The dataset contains 500 simulated shipment records. Shipment_ID is an identifier and is not used as a predictor. Delivery_Status is excluded from model inputs because it may reflect an outcome assigned after delivery and could cause target leakage. The target is Delivery_Time_hours.</w:t>
      </w:r>
    </w:p>
    <w:tbl>
      <w:tblPr>
        <w:tblStyle w:val="LightShading-Accent1"/>
        <w:tblW w:type="auto" w:w="0"/>
        <w:jc w:val="center"/>
        <w:tblLook w:firstColumn="1" w:firstRow="1" w:lastColumn="0" w:lastRow="0" w:noHBand="0" w:noVBand="1" w:val="04A0"/>
      </w:tblPr>
      <w:tblGrid>
        <w:gridCol w:w="3360"/>
        <w:gridCol w:w="3360"/>
        <w:gridCol w:w="3360"/>
      </w:tblGrid>
      <w:tr>
        <w:tc>
          <w:tcPr>
            <w:tcW w:type="dxa" w:w="3360"/>
          </w:tcPr>
          <w:p>
            <w:r>
              <w:t>Variable</w:t>
            </w:r>
          </w:p>
        </w:tc>
        <w:tc>
          <w:tcPr>
            <w:tcW w:type="dxa" w:w="3360"/>
          </w:tcPr>
          <w:p>
            <w:r>
              <w:t>Type</w:t>
            </w:r>
          </w:p>
        </w:tc>
        <w:tc>
          <w:tcPr>
            <w:tcW w:type="dxa" w:w="3360"/>
          </w:tcPr>
          <w:p>
            <w:r>
              <w:t>Role</w:t>
            </w:r>
          </w:p>
        </w:tc>
      </w:tr>
      <w:tr>
        <w:tc>
          <w:tcPr>
            <w:tcW w:type="dxa" w:w="3360"/>
          </w:tcPr>
          <w:p>
            <w:r>
              <w:t>Distance_km</w:t>
            </w:r>
          </w:p>
        </w:tc>
        <w:tc>
          <w:tcPr>
            <w:tcW w:type="dxa" w:w="3360"/>
          </w:tcPr>
          <w:p>
            <w:r>
              <w:t>Numeric</w:t>
            </w:r>
          </w:p>
        </w:tc>
        <w:tc>
          <w:tcPr>
            <w:tcW w:type="dxa" w:w="3360"/>
          </w:tcPr>
          <w:p>
            <w:r>
              <w:t>Predictor</w:t>
            </w:r>
          </w:p>
        </w:tc>
      </w:tr>
      <w:tr>
        <w:tc>
          <w:tcPr>
            <w:tcW w:type="dxa" w:w="3360"/>
          </w:tcPr>
          <w:p>
            <w:r>
              <w:t>Shipment_Weight_kg</w:t>
            </w:r>
          </w:p>
        </w:tc>
        <w:tc>
          <w:tcPr>
            <w:tcW w:type="dxa" w:w="3360"/>
          </w:tcPr>
          <w:p>
            <w:r>
              <w:t>Numeric</w:t>
            </w:r>
          </w:p>
        </w:tc>
        <w:tc>
          <w:tcPr>
            <w:tcW w:type="dxa" w:w="3360"/>
          </w:tcPr>
          <w:p>
            <w:r>
              <w:t>Predictor</w:t>
            </w:r>
          </w:p>
        </w:tc>
      </w:tr>
      <w:tr>
        <w:tc>
          <w:tcPr>
            <w:tcW w:type="dxa" w:w="3360"/>
          </w:tcPr>
          <w:p>
            <w:r>
              <w:t>Shipment_Volume</w:t>
            </w:r>
          </w:p>
        </w:tc>
        <w:tc>
          <w:tcPr>
            <w:tcW w:type="dxa" w:w="3360"/>
          </w:tcPr>
          <w:p>
            <w:r>
              <w:t>Numeric</w:t>
            </w:r>
          </w:p>
        </w:tc>
        <w:tc>
          <w:tcPr>
            <w:tcW w:type="dxa" w:w="3360"/>
          </w:tcPr>
          <w:p>
            <w:r>
              <w:t>Predictor</w:t>
            </w:r>
          </w:p>
        </w:tc>
      </w:tr>
      <w:tr>
        <w:tc>
          <w:tcPr>
            <w:tcW w:type="dxa" w:w="3360"/>
          </w:tcPr>
          <w:p>
            <w:r>
              <w:t>Transport_Mode</w:t>
            </w:r>
          </w:p>
        </w:tc>
        <w:tc>
          <w:tcPr>
            <w:tcW w:type="dxa" w:w="3360"/>
          </w:tcPr>
          <w:p>
            <w:r>
              <w:t>Categorical</w:t>
            </w:r>
          </w:p>
        </w:tc>
        <w:tc>
          <w:tcPr>
            <w:tcW w:type="dxa" w:w="3360"/>
          </w:tcPr>
          <w:p>
            <w:r>
              <w:t>Predictor; one-hot encoded</w:t>
            </w:r>
          </w:p>
        </w:tc>
      </w:tr>
      <w:tr>
        <w:tc>
          <w:tcPr>
            <w:tcW w:type="dxa" w:w="3360"/>
          </w:tcPr>
          <w:p>
            <w:r>
              <w:t>Transportation_Cost</w:t>
            </w:r>
          </w:p>
        </w:tc>
        <w:tc>
          <w:tcPr>
            <w:tcW w:type="dxa" w:w="3360"/>
          </w:tcPr>
          <w:p>
            <w:r>
              <w:t>Numeric</w:t>
            </w:r>
          </w:p>
        </w:tc>
        <w:tc>
          <w:tcPr>
            <w:tcW w:type="dxa" w:w="3360"/>
          </w:tcPr>
          <w:p>
            <w:r>
              <w:t>Predictor if known at prediction time</w:t>
            </w:r>
          </w:p>
        </w:tc>
      </w:tr>
      <w:tr>
        <w:tc>
          <w:tcPr>
            <w:tcW w:type="dxa" w:w="3360"/>
          </w:tcPr>
          <w:p>
            <w:r>
              <w:t>Delivery_Time_hours</w:t>
            </w:r>
          </w:p>
        </w:tc>
        <w:tc>
          <w:tcPr>
            <w:tcW w:type="dxa" w:w="3360"/>
          </w:tcPr>
          <w:p>
            <w:r>
              <w:t>Numeric</w:t>
            </w:r>
          </w:p>
        </w:tc>
        <w:tc>
          <w:tcPr>
            <w:tcW w:type="dxa" w:w="3360"/>
          </w:tcPr>
          <w:p>
            <w:r>
              <w:t>Target</w:t>
            </w:r>
          </w:p>
        </w:tc>
      </w:tr>
      <w:tr>
        <w:tc>
          <w:tcPr>
            <w:tcW w:type="dxa" w:w="3360"/>
          </w:tcPr>
          <w:p>
            <w:r>
              <w:t>Delivery_Status</w:t>
            </w:r>
          </w:p>
        </w:tc>
        <w:tc>
          <w:tcPr>
            <w:tcW w:type="dxa" w:w="3360"/>
          </w:tcPr>
          <w:p>
            <w:r>
              <w:t>Categorical</w:t>
            </w:r>
          </w:p>
        </w:tc>
        <w:tc>
          <w:tcPr>
            <w:tcW w:type="dxa" w:w="3360"/>
          </w:tcPr>
          <w:p>
            <w:r>
              <w:t>Descriptive only; excluded from model</w:t>
            </w:r>
          </w:p>
        </w:tc>
      </w:tr>
      <w:tr>
        <w:tc>
          <w:tcPr>
            <w:tcW w:type="dxa" w:w="3360"/>
          </w:tcPr>
          <w:p>
            <w:r>
              <w:t>Shipment_ID</w:t>
            </w:r>
          </w:p>
        </w:tc>
        <w:tc>
          <w:tcPr>
            <w:tcW w:type="dxa" w:w="3360"/>
          </w:tcPr>
          <w:p>
            <w:r>
              <w:t>Identifier</w:t>
            </w:r>
          </w:p>
        </w:tc>
        <w:tc>
          <w:tcPr>
            <w:tcW w:type="dxa" w:w="3360"/>
          </w:tcPr>
          <w:p>
            <w:r>
              <w:t>Excluded</w:t>
            </w:r>
          </w:p>
        </w:tc>
      </w:tr>
    </w:tbl>
    <w:p>
      <w:r>
        <w:t>Transport mode counts: Road: 133, Rail: 130, Air: 129, Sea: 108. Delivery status counts: On Time: 372, Delayed: 128. The simulated delayed-shipment share is 25.6%. This is descriptive of this dataset only.</w:t>
      </w:r>
    </w:p>
    <w:p>
      <w:pPr>
        <w:pStyle w:val="Heading1"/>
      </w:pPr>
      <w:r>
        <w:t>4. Data Preparation</w:t>
      </w:r>
    </w:p>
    <w:p>
      <w:pPr>
        <w:pStyle w:val="ListBullet"/>
      </w:pPr>
      <w:r>
        <w:t>Inspected the dataset shape, missing values, and duplicate rows.</w:t>
      </w:r>
    </w:p>
    <w:p>
      <w:pPr>
        <w:pStyle w:val="ListBullet"/>
      </w:pPr>
      <w:r>
        <w:t>Used an 80/20 train-test split with random_state=42 for reproducibility.</w:t>
      </w:r>
    </w:p>
    <w:p>
      <w:pPr>
        <w:pStyle w:val="ListBullet"/>
      </w:pPr>
      <w:r>
        <w:t>Placed imputation, scaling, and one-hot encoding inside a scikit-learn pipeline to reduce preprocessing leakage.</w:t>
      </w:r>
    </w:p>
    <w:p>
      <w:pPr>
        <w:pStyle w:val="ListBullet"/>
      </w:pPr>
      <w:r>
        <w:t>Used median imputation and standard scaling for numeric inputs, and most-frequent imputation plus one-hot encoding for the categorical transport mode.</w:t>
      </w:r>
    </w:p>
    <w:p>
      <w:pPr>
        <w:pStyle w:val="ListBullet"/>
      </w:pPr>
      <w:r>
        <w:t>Excluded the shipment identifier and the post-outcome delivery status from model inputs.</w:t>
      </w:r>
    </w:p>
    <w:p>
      <w:pPr>
        <w:pStyle w:val="Heading1"/>
      </w:pPr>
      <w:r>
        <w:t>5. Model Selection and Tuning</w:t>
      </w:r>
    </w:p>
    <w:p>
      <w:r>
        <w:t>Mean Baseline: predicts the mean delivery time from the training set and provides a simple benchmark. Linear Regression: provides an interpretable linear baseline. Tuned Random Forest: can capture nonlinear patterns and interactions. GridSearchCV tested combinations of tree count, maximum depth, minimum samples per leaf, and maximum features using negative MAE as the selection score. Tuning was performed only on the training data.</w:t>
      </w:r>
    </w:p>
    <w:p>
      <w:pPr>
        <w:pStyle w:val="Heading1"/>
      </w:pPr>
      <w:r>
        <w:t>6. Evaluation Metrics and Validation</w:t>
      </w:r>
    </w:p>
    <w:p>
      <w:pPr>
        <w:pStyle w:val="ListBullet"/>
      </w:pPr>
      <w:r>
        <w:t>MAE: average absolute prediction error in hours; lower is better.</w:t>
      </w:r>
    </w:p>
    <w:p>
      <w:pPr>
        <w:pStyle w:val="ListBullet"/>
      </w:pPr>
      <w:r>
        <w:t>RMSE: square root of mean squared error; it penalizes larger errors more heavily; lower is better.</w:t>
      </w:r>
    </w:p>
    <w:p>
      <w:pPr>
        <w:pStyle w:val="ListBullet"/>
      </w:pPr>
      <w:r>
        <w:t>R²: compares predictions with a mean-target baseline; a negative test R² means the model performed worse than predicting the test-set mean for that test sample.</w:t>
      </w:r>
    </w:p>
    <w:p>
      <w:pPr>
        <w:pStyle w:val="ListBullet"/>
      </w:pPr>
      <w:r>
        <w:t>Five-fold cross-validation: used within the training set for model comparison and hyperparameter selection; the held-out test set was used for final evaluation.</w:t>
      </w:r>
    </w:p>
    <w:p>
      <w:pPr>
        <w:pStyle w:val="Heading1"/>
      </w:pPr>
      <w:r>
        <w:t>7. Results</w:t>
      </w:r>
    </w:p>
    <w:tbl>
      <w:tblPr>
        <w:tblStyle w:val="LightShading-Accent1"/>
        <w:tblW w:type="auto" w:w="0"/>
        <w:jc w:val="center"/>
        <w:tblLook w:firstColumn="1" w:firstRow="1" w:lastColumn="0" w:lastRow="0" w:noHBand="0" w:noVBand="1" w:val="04A0"/>
      </w:tblPr>
      <w:tblGrid>
        <w:gridCol w:w="2016"/>
        <w:gridCol w:w="2016"/>
        <w:gridCol w:w="2016"/>
        <w:gridCol w:w="2016"/>
        <w:gridCol w:w="2016"/>
      </w:tblGrid>
      <w:tr>
        <w:tc>
          <w:tcPr>
            <w:tcW w:type="dxa" w:w="2016"/>
          </w:tcPr>
          <w:p>
            <w:r>
              <w:t>Model</w:t>
            </w:r>
          </w:p>
        </w:tc>
        <w:tc>
          <w:tcPr>
            <w:tcW w:type="dxa" w:w="2016"/>
          </w:tcPr>
          <w:p>
            <w:r>
              <w:t>Test MAE (h)</w:t>
            </w:r>
          </w:p>
        </w:tc>
        <w:tc>
          <w:tcPr>
            <w:tcW w:type="dxa" w:w="2016"/>
          </w:tcPr>
          <w:p>
            <w:r>
              <w:t>Test RMSE (h)</w:t>
            </w:r>
          </w:p>
        </w:tc>
        <w:tc>
          <w:tcPr>
            <w:tcW w:type="dxa" w:w="2016"/>
          </w:tcPr>
          <w:p>
            <w:r>
              <w:t>Test R²</w:t>
            </w:r>
          </w:p>
        </w:tc>
        <w:tc>
          <w:tcPr>
            <w:tcW w:type="dxa" w:w="2016"/>
          </w:tcPr>
          <w:p>
            <w:r>
              <w:t>Training CV MAE (h)</w:t>
            </w:r>
          </w:p>
        </w:tc>
      </w:tr>
      <w:tr>
        <w:tc>
          <w:tcPr>
            <w:tcW w:type="dxa" w:w="2016"/>
          </w:tcPr>
          <w:p>
            <w:r>
              <w:t>Mean Baseline</w:t>
            </w:r>
          </w:p>
        </w:tc>
        <w:tc>
          <w:tcPr>
            <w:tcW w:type="dxa" w:w="2016"/>
          </w:tcPr>
          <w:p>
            <w:r>
              <w:t>29.65</w:t>
            </w:r>
          </w:p>
        </w:tc>
        <w:tc>
          <w:tcPr>
            <w:tcW w:type="dxa" w:w="2016"/>
          </w:tcPr>
          <w:p>
            <w:r>
              <w:t>34.39</w:t>
            </w:r>
          </w:p>
        </w:tc>
        <w:tc>
          <w:tcPr>
            <w:tcW w:type="dxa" w:w="2016"/>
          </w:tcPr>
          <w:p>
            <w:r>
              <w:t>-0.003</w:t>
            </w:r>
          </w:p>
        </w:tc>
        <w:tc>
          <w:tcPr>
            <w:tcW w:type="dxa" w:w="2016"/>
          </w:tcPr>
          <w:p>
            <w:r>
              <w:t>29.11</w:t>
            </w:r>
          </w:p>
        </w:tc>
      </w:tr>
      <w:tr>
        <w:tc>
          <w:tcPr>
            <w:tcW w:type="dxa" w:w="2016"/>
          </w:tcPr>
          <w:p>
            <w:r>
              <w:t>Linear Regression</w:t>
            </w:r>
          </w:p>
        </w:tc>
        <w:tc>
          <w:tcPr>
            <w:tcW w:type="dxa" w:w="2016"/>
          </w:tcPr>
          <w:p>
            <w:r>
              <w:t>29.70</w:t>
            </w:r>
          </w:p>
        </w:tc>
        <w:tc>
          <w:tcPr>
            <w:tcW w:type="dxa" w:w="2016"/>
          </w:tcPr>
          <w:p>
            <w:r>
              <w:t>34.41</w:t>
            </w:r>
          </w:p>
        </w:tc>
        <w:tc>
          <w:tcPr>
            <w:tcW w:type="dxa" w:w="2016"/>
          </w:tcPr>
          <w:p>
            <w:r>
              <w:t>-0.004</w:t>
            </w:r>
          </w:p>
        </w:tc>
        <w:tc>
          <w:tcPr>
            <w:tcW w:type="dxa" w:w="2016"/>
          </w:tcPr>
          <w:p>
            <w:r>
              <w:t>29.23</w:t>
            </w:r>
          </w:p>
        </w:tc>
      </w:tr>
      <w:tr>
        <w:tc>
          <w:tcPr>
            <w:tcW w:type="dxa" w:w="2016"/>
          </w:tcPr>
          <w:p>
            <w:r>
              <w:t>Tuned Random Forest</w:t>
            </w:r>
          </w:p>
        </w:tc>
        <w:tc>
          <w:tcPr>
            <w:tcW w:type="dxa" w:w="2016"/>
          </w:tcPr>
          <w:p>
            <w:r>
              <w:t>29.85</w:t>
            </w:r>
          </w:p>
        </w:tc>
        <w:tc>
          <w:tcPr>
            <w:tcW w:type="dxa" w:w="2016"/>
          </w:tcPr>
          <w:p>
            <w:r>
              <w:t>35.71</w:t>
            </w:r>
          </w:p>
        </w:tc>
        <w:tc>
          <w:tcPr>
            <w:tcW w:type="dxa" w:w="2016"/>
          </w:tcPr>
          <w:p>
            <w:r>
              <w:t>-0.081</w:t>
            </w:r>
          </w:p>
        </w:tc>
        <w:tc>
          <w:tcPr>
            <w:tcW w:type="dxa" w:w="2016"/>
          </w:tcPr>
          <w:p>
            <w:r>
              <w:t>29.06</w:t>
            </w:r>
          </w:p>
        </w:tc>
      </w:tr>
    </w:tbl>
    <w:p>
      <w:r>
        <w:t>Model selection should rely on cross-validation within the training data, not on the held-out test set. The tuned Random Forest had the lowest training cross-validation MAE (29.06 hours), so its test metrics provide the final check of generalization. On the test set, the mean baseline had lower MAE than the tuned Random Forest. This is evidence that the tuned model did not generalize better on this split. The scores are weak overall, so none of the models should be used for operational decisions without improved data and further validation.</w:t>
      </w:r>
    </w:p>
    <w:p>
      <w:r>
        <w:t>Random Forest best parameters from training-only cross-validation: {'model__max_depth': None, 'model__max_features': 1.0, 'model__min_samples_leaf': 4, 'model__n_estimators': 300}</w:t>
      </w:r>
    </w:p>
    <w:p>
      <w:r/>
    </w:p>
    <w:p>
      <w:pPr>
        <w:jc w:val="center"/>
      </w:pPr>
      <w:r>
        <w:drawing>
          <wp:inline xmlns:a="http://schemas.openxmlformats.org/drawingml/2006/main" xmlns:pic="http://schemas.openxmlformats.org/drawingml/2006/picture">
            <wp:extent cx="5303520" cy="3781398"/>
            <wp:docPr id="1" name="Picture 1"/>
            <wp:cNvGraphicFramePr>
              <a:graphicFrameLocks noChangeAspect="1"/>
            </wp:cNvGraphicFramePr>
            <a:graphic>
              <a:graphicData uri="http://schemas.openxmlformats.org/drawingml/2006/picture">
                <pic:pic>
                  <pic:nvPicPr>
                    <pic:cNvPr id="0" name="week4_actual_vs_predicted.png"/>
                    <pic:cNvPicPr/>
                  </pic:nvPicPr>
                  <pic:blipFill>
                    <a:blip r:embed="rId9"/>
                    <a:stretch>
                      <a:fillRect/>
                    </a:stretch>
                  </pic:blipFill>
                  <pic:spPr>
                    <a:xfrm>
                      <a:off x="0" y="0"/>
                      <a:ext cx="5303520" cy="3781398"/>
                    </a:xfrm>
                    <a:prstGeom prst="rect"/>
                  </pic:spPr>
                </pic:pic>
              </a:graphicData>
            </a:graphic>
          </wp:inline>
        </w:drawing>
      </w:r>
    </w:p>
    <w:p>
      <w:r>
        <w:t>Figure 1. Actual versus predicted delivery time for each model on the held-out test set.</w:t>
      </w:r>
    </w:p>
    <w:p>
      <w:pPr>
        <w:jc w:val="center"/>
      </w:pPr>
      <w:r>
        <w:drawing>
          <wp:inline xmlns:a="http://schemas.openxmlformats.org/drawingml/2006/main" xmlns:pic="http://schemas.openxmlformats.org/drawingml/2006/picture">
            <wp:extent cx="5303520" cy="3781398"/>
            <wp:docPr id="2" name="Picture 2"/>
            <wp:cNvGraphicFramePr>
              <a:graphicFrameLocks noChangeAspect="1"/>
            </wp:cNvGraphicFramePr>
            <a:graphic>
              <a:graphicData uri="http://schemas.openxmlformats.org/drawingml/2006/picture">
                <pic:pic>
                  <pic:nvPicPr>
                    <pic:cNvPr id="0" name="week4_residual_analysis.png"/>
                    <pic:cNvPicPr/>
                  </pic:nvPicPr>
                  <pic:blipFill>
                    <a:blip r:embed="rId10"/>
                    <a:stretch>
                      <a:fillRect/>
                    </a:stretch>
                  </pic:blipFill>
                  <pic:spPr>
                    <a:xfrm>
                      <a:off x="0" y="0"/>
                      <a:ext cx="5303520" cy="3781398"/>
                    </a:xfrm>
                    <a:prstGeom prst="rect"/>
                  </pic:spPr>
                </pic:pic>
              </a:graphicData>
            </a:graphic>
          </wp:inline>
        </w:drawing>
      </w:r>
    </w:p>
    <w:p>
      <w:r>
        <w:t>Figure 2. Residual plot for the model with the lowest test MAE. Residuals around zero without a clear pattern are desirable.</w:t>
      </w:r>
    </w:p>
    <w:p>
      <w:pPr>
        <w:jc w:val="center"/>
      </w:pPr>
      <w:r>
        <w:drawing>
          <wp:inline xmlns:a="http://schemas.openxmlformats.org/drawingml/2006/main" xmlns:pic="http://schemas.openxmlformats.org/drawingml/2006/picture">
            <wp:extent cx="5303520" cy="3548130"/>
            <wp:docPr id="3" name="Picture 3"/>
            <wp:cNvGraphicFramePr>
              <a:graphicFrameLocks noChangeAspect="1"/>
            </wp:cNvGraphicFramePr>
            <a:graphic>
              <a:graphicData uri="http://schemas.openxmlformats.org/drawingml/2006/picture">
                <pic:pic>
                  <pic:nvPicPr>
                    <pic:cNvPr id="0" name="week4_model_comparison.png"/>
                    <pic:cNvPicPr/>
                  </pic:nvPicPr>
                  <pic:blipFill>
                    <a:blip r:embed="rId11"/>
                    <a:stretch>
                      <a:fillRect/>
                    </a:stretch>
                  </pic:blipFill>
                  <pic:spPr>
                    <a:xfrm>
                      <a:off x="0" y="0"/>
                      <a:ext cx="5303520" cy="3548130"/>
                    </a:xfrm>
                    <a:prstGeom prst="rect"/>
                  </pic:spPr>
                </pic:pic>
              </a:graphicData>
            </a:graphic>
          </wp:inline>
        </w:drawing>
      </w:r>
    </w:p>
    <w:p>
      <w:r>
        <w:t>Figure 3. Test-set MAE and RMSE comparison. Lower errors are preferred.</w:t>
      </w:r>
    </w:p>
    <w:p>
      <w:pPr>
        <w:jc w:val="center"/>
      </w:pPr>
      <w:r>
        <w:drawing>
          <wp:inline xmlns:a="http://schemas.openxmlformats.org/drawingml/2006/main" xmlns:pic="http://schemas.openxmlformats.org/drawingml/2006/picture">
            <wp:extent cx="5303520" cy="3784241"/>
            <wp:docPr id="4" name="Picture 4"/>
            <wp:cNvGraphicFramePr>
              <a:graphicFrameLocks noChangeAspect="1"/>
            </wp:cNvGraphicFramePr>
            <a:graphic>
              <a:graphicData uri="http://schemas.openxmlformats.org/drawingml/2006/picture">
                <pic:pic>
                  <pic:nvPicPr>
                    <pic:cNvPr id="0" name="week4_feature_importance.png"/>
                    <pic:cNvPicPr/>
                  </pic:nvPicPr>
                  <pic:blipFill>
                    <a:blip r:embed="rId12"/>
                    <a:stretch>
                      <a:fillRect/>
                    </a:stretch>
                  </pic:blipFill>
                  <pic:spPr>
                    <a:xfrm>
                      <a:off x="0" y="0"/>
                      <a:ext cx="5303520" cy="3784241"/>
                    </a:xfrm>
                    <a:prstGeom prst="rect"/>
                  </pic:spPr>
                </pic:pic>
              </a:graphicData>
            </a:graphic>
          </wp:inline>
        </w:drawing>
      </w:r>
    </w:p>
    <w:p>
      <w:r>
        <w:t>Figure 4. Tuned Random Forest feature importance. Importance describes model use, not causal effect.</w:t>
      </w:r>
    </w:p>
    <w:p>
      <w:pPr>
        <w:pStyle w:val="Heading1"/>
      </w:pPr>
      <w:r>
        <w:t>8. Data Relationships and Limitations</w:t>
      </w:r>
    </w:p>
    <w:p>
      <w:r>
        <w:t>Pearson correlations between numerical inputs and delivery time in this dataset are:</w:t>
      </w:r>
    </w:p>
    <w:p>
      <w:pPr>
        <w:pStyle w:val="ListBullet"/>
      </w:pPr>
      <w:r>
        <w:t>Transportation_Cost: 0.099</w:t>
      </w:r>
    </w:p>
    <w:p>
      <w:pPr>
        <w:pStyle w:val="ListBullet"/>
      </w:pPr>
      <w:r>
        <w:t>Distance_km: 0.075</w:t>
      </w:r>
    </w:p>
    <w:p>
      <w:pPr>
        <w:pStyle w:val="ListBullet"/>
      </w:pPr>
      <w:r>
        <w:t>Shipment_Volume: 0.047</w:t>
      </w:r>
    </w:p>
    <w:p>
      <w:pPr>
        <w:pStyle w:val="ListBullet"/>
      </w:pPr>
      <w:r>
        <w:t>Shipment_Weight_kg: -0.013</w:t>
      </w:r>
    </w:p>
    <w:p>
      <w:r>
        <w:t>These correlations are close to zero, indicating little linear association in this simulated sample. This helps explain why a simple linear model may struggle, though correlation alone cannot rule out nonlinear patterns. The dataset is small and simulated, and may not reflect real shipment processes. Weak performance is an important result and should be reported honestly rather than hidden.</w:t>
      </w:r>
    </w:p>
    <w:p>
      <w:r>
        <w:t>Potential additional features include origin/destination, road-network distance, dispatch time, day of week, traffic, weather, carrier, number of stops, warehouse processing time, service level, and failed delivery attempts. Only features available at the time of prediction should be used.</w:t>
      </w:r>
    </w:p>
    <w:p>
      <w:pPr>
        <w:pStyle w:val="Heading1"/>
      </w:pPr>
      <w:r>
        <w:t>9. Optimization Recommendations</w:t>
      </w:r>
    </w:p>
    <w:p>
      <w:pPr>
        <w:pStyle w:val="ListNumber"/>
      </w:pPr>
      <w:r>
        <w:rPr>
          <w:b/>
        </w:rPr>
        <w:t xml:space="preserve">Pilot risk-based monitoring: </w:t>
      </w:r>
      <w:r>
        <w:t>After a model demonstrates acceptable validation performance on real historical data, flag shipments with high predicted duration for human review. The current weak model should not drive automatic customer promises.</w:t>
      </w:r>
    </w:p>
    <w:p>
      <w:pPr>
        <w:pStyle w:val="ListNumber"/>
      </w:pPr>
      <w:r>
        <w:rPr>
          <w:b/>
        </w:rPr>
        <w:t xml:space="preserve">Improve route planning data: </w:t>
      </w:r>
      <w:r>
        <w:t>Combine road-network distance, traffic, delivery windows, vehicle capacity, and route constraints. Compare feasible routes on time and cost, then pilot changes before scaling.</w:t>
      </w:r>
    </w:p>
    <w:p>
      <w:pPr>
        <w:pStyle w:val="ListNumber"/>
      </w:pPr>
      <w:r>
        <w:rPr>
          <w:b/>
        </w:rPr>
        <w:t xml:space="preserve">Allocate staff and vehicles using measured demand: </w:t>
      </w:r>
      <w:r>
        <w:t>Use observed shipment volume and time-of-day patterns to plan drivers, vehicles, and warehouse shifts; validate impact against service levels.</w:t>
      </w:r>
    </w:p>
    <w:p>
      <w:pPr>
        <w:pStyle w:val="ListNumber"/>
      </w:pPr>
      <w:r>
        <w:rPr>
          <w:b/>
        </w:rPr>
        <w:t xml:space="preserve">Compare transport costs fairly: </w:t>
      </w:r>
      <w:r>
        <w:t>Compare cost per shipment and cost per kilometre by mode while accounting for distance, weight, volume, and service requirements.</w:t>
      </w:r>
    </w:p>
    <w:p>
      <w:pPr>
        <w:pStyle w:val="ListNumber"/>
      </w:pPr>
      <w:r>
        <w:rPr>
          <w:b/>
        </w:rPr>
        <w:t xml:space="preserve">Create a monitoring loop: </w:t>
      </w:r>
      <w:r>
        <w:t>Track actual versus predicted time, MAE/RMSE by transport mode and route, on-time rate, and cost per shipment. Retrain only when performance on a representative validation set improves.</w:t>
      </w:r>
    </w:p>
    <w:p>
      <w:pPr>
        <w:pStyle w:val="Heading1"/>
      </w:pPr>
      <w:r>
        <w:t>10. Future Work</w:t>
      </w:r>
    </w:p>
    <w:p>
      <w:pPr>
        <w:pStyle w:val="ListBullet"/>
      </w:pPr>
      <w:r>
        <w:t>Collect larger, real operational data with reliable dispatch and arrival timestamps.</w:t>
      </w:r>
    </w:p>
    <w:p>
      <w:pPr>
        <w:pStyle w:val="ListBullet"/>
      </w:pPr>
      <w:r>
        <w:t>Investigate outliers and the data-generation process, and confirm target units and definitions.</w:t>
      </w:r>
    </w:p>
    <w:p>
      <w:pPr>
        <w:pStyle w:val="ListBullet"/>
      </w:pPr>
      <w:r>
        <w:t>Evaluate using a time-based split if the purpose is to forecast future shipments.</w:t>
      </w:r>
    </w:p>
    <w:p>
      <w:pPr>
        <w:pStyle w:val="ListBullet"/>
      </w:pPr>
      <w:r>
        <w:t>Use feature engineering only where operationally meaningful and available at prediction time.</w:t>
      </w:r>
    </w:p>
    <w:p>
      <w:pPr>
        <w:pStyle w:val="ListBullet"/>
      </w:pPr>
      <w:r>
        <w:t>Measure business outcomes in a pilot before claiming cost savings or service improvements.</w:t>
      </w:r>
    </w:p>
    <w:p>
      <w:pPr>
        <w:pStyle w:val="Heading1"/>
      </w:pPr>
      <w:r>
        <w:t>11. Conclusion</w:t>
      </w:r>
    </w:p>
    <w:p>
      <w:r>
        <w:t>This task demonstrates a complete predictive modeling workflow with preprocessing pipelines, a baseline, Linear Regression, tuned Random Forest, cross-validation, held-out evaluation, plots, and optimization recommendations. The available simulated data shows limited predictive signal, so the main practical recommendation is to improve data collection and validate models on real logistics history before using forecasts for operational decisions.</w:t>
      </w:r>
    </w:p>
    <w:p>
      <w:pPr>
        <w:pStyle w:val="Heading1"/>
      </w:pPr>
      <w:r>
        <w:t>Appendix: Reproducibility</w:t>
      </w:r>
    </w:p>
    <w:p>
      <w:r>
        <w:t>Place week4_predictive_modeling.py and logistics_dataset.csv in the same directory. Install pandas, numpy, matplotlib, and scikit-learn, then run `python week4_predictive_modeling.py`. The script writes metrics and plots to week4_outputs/.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