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8D71B" w14:textId="77777777" w:rsidR="00440111" w:rsidRPr="00440111" w:rsidRDefault="00440111" w:rsidP="00440111">
      <w:pPr>
        <w:rPr>
          <w:b/>
          <w:bCs/>
        </w:rPr>
      </w:pPr>
      <w:r w:rsidRPr="00440111">
        <w:rPr>
          <w:b/>
          <w:bCs/>
        </w:rPr>
        <w:t>Initial Findings Report</w:t>
      </w:r>
    </w:p>
    <w:p w14:paraId="7D710391" w14:textId="77777777" w:rsidR="00440111" w:rsidRPr="00440111" w:rsidRDefault="00440111" w:rsidP="00440111">
      <w:pPr>
        <w:rPr>
          <w:b/>
          <w:bCs/>
        </w:rPr>
      </w:pPr>
      <w:r w:rsidRPr="00440111">
        <w:rPr>
          <w:b/>
          <w:bCs/>
        </w:rPr>
        <w:t>1. Overall Sales Performance</w:t>
      </w:r>
    </w:p>
    <w:p w14:paraId="73A2CCEE" w14:textId="77777777" w:rsidR="00440111" w:rsidRPr="00440111" w:rsidRDefault="00440111" w:rsidP="00440111">
      <w:r w:rsidRPr="00440111">
        <w:t>The dataset contains 264,835 transactions generated by 72,637 customers across 272 stores. Total sales amounted to $1.93 million, with 505,122 units sold during the analysis period. The average transaction value was approximately $7.30.</w:t>
      </w:r>
    </w:p>
    <w:p w14:paraId="479CBF05" w14:textId="77777777" w:rsidR="00440111" w:rsidRPr="00440111" w:rsidRDefault="00440111" w:rsidP="00440111">
      <w:r w:rsidRPr="00440111">
        <w:t>Monthly sales remained relatively stable throughout the year, fluctuating between approximately $150,000 and $168,000 per month. The highest sales were recorded in December 2018 ($167,913), while February 2019 recorded the lowest sales ($150,665). This pattern suggests a modest increase in sales during the holiday season, followed by a decline in the subsequent month.</w:t>
      </w:r>
    </w:p>
    <w:p w14:paraId="635906B2" w14:textId="77777777" w:rsidR="00440111" w:rsidRPr="00440111" w:rsidRDefault="00440111" w:rsidP="00440111">
      <w:pPr>
        <w:rPr>
          <w:b/>
          <w:bCs/>
        </w:rPr>
      </w:pPr>
      <w:r w:rsidRPr="00440111">
        <w:rPr>
          <w:b/>
          <w:bCs/>
        </w:rPr>
        <w:t>2. Key Sales Drivers</w:t>
      </w:r>
    </w:p>
    <w:p w14:paraId="6962B95F" w14:textId="77777777" w:rsidR="00440111" w:rsidRPr="00440111" w:rsidRDefault="00440111" w:rsidP="00440111">
      <w:r w:rsidRPr="00440111">
        <w:t>Sales are primarily driven by a small number of customer segments.</w:t>
      </w:r>
    </w:p>
    <w:p w14:paraId="0B6E6222" w14:textId="77777777" w:rsidR="00440111" w:rsidRPr="00440111" w:rsidRDefault="00440111" w:rsidP="00440111">
      <w:r w:rsidRPr="00440111">
        <w:t xml:space="preserve">The highest contributing customer segment was </w:t>
      </w:r>
      <w:r w:rsidRPr="00440111">
        <w:rPr>
          <w:b/>
          <w:bCs/>
        </w:rPr>
        <w:t>Older Families (Budget)</w:t>
      </w:r>
      <w:r w:rsidRPr="00440111">
        <w:t>, generating $168,363 in sales. This segment also recorded the highest quantity purchased (45,065 units) and the highest number of transactions (23,160), indicating that sales are driven by frequent purchases and larger purchase volumes.</w:t>
      </w:r>
    </w:p>
    <w:p w14:paraId="24B7660E" w14:textId="77777777" w:rsidR="00440111" w:rsidRPr="00440111" w:rsidRDefault="00440111" w:rsidP="00440111">
      <w:r w:rsidRPr="00440111">
        <w:t xml:space="preserve">The </w:t>
      </w:r>
      <w:r w:rsidRPr="00440111">
        <w:rPr>
          <w:b/>
          <w:bCs/>
        </w:rPr>
        <w:t>Young Singles/Couples (Mainstream)</w:t>
      </w:r>
      <w:r w:rsidRPr="00440111">
        <w:t xml:space="preserve"> segment generated the second-highest sales ($157,622) and recorded the highest average transaction value ($7.56), suggesting a willingness to spend more per purchase.</w:t>
      </w:r>
    </w:p>
    <w:p w14:paraId="2AD2E74D" w14:textId="77777777" w:rsidR="00440111" w:rsidRPr="00440111" w:rsidRDefault="00440111" w:rsidP="00440111">
      <w:r w:rsidRPr="00440111">
        <w:t xml:space="preserve">The </w:t>
      </w:r>
      <w:r w:rsidRPr="00440111">
        <w:rPr>
          <w:b/>
          <w:bCs/>
        </w:rPr>
        <w:t>Retirees (Mainstream)</w:t>
      </w:r>
      <w:r w:rsidRPr="00440111">
        <w:t xml:space="preserve"> segment contributed $155,677 in sales and generated over 21,000 transactions, demonstrating strong and consistent purchasing </w:t>
      </w:r>
      <w:proofErr w:type="spellStart"/>
      <w:r w:rsidRPr="00440111">
        <w:t>behavior</w:t>
      </w:r>
      <w:proofErr w:type="spellEnd"/>
      <w:r w:rsidRPr="00440111">
        <w:t>.</w:t>
      </w:r>
    </w:p>
    <w:p w14:paraId="780041FF" w14:textId="77777777" w:rsidR="00440111" w:rsidRPr="00440111" w:rsidRDefault="00440111" w:rsidP="00440111">
      <w:r w:rsidRPr="00440111">
        <w:t xml:space="preserve">Other high-performing segments include </w:t>
      </w:r>
      <w:r w:rsidRPr="00440111">
        <w:rPr>
          <w:b/>
          <w:bCs/>
        </w:rPr>
        <w:t>Young Families (Budget)</w:t>
      </w:r>
      <w:r w:rsidRPr="00440111">
        <w:t xml:space="preserve"> and </w:t>
      </w:r>
      <w:r w:rsidRPr="00440111">
        <w:rPr>
          <w:b/>
          <w:bCs/>
        </w:rPr>
        <w:t>Older Singles/Couples (Budget)</w:t>
      </w:r>
      <w:r w:rsidRPr="00440111">
        <w:t>, both of which exhibit high sales volumes and frequent purchases.</w:t>
      </w:r>
    </w:p>
    <w:p w14:paraId="3CF0C959" w14:textId="77777777" w:rsidR="00440111" w:rsidRPr="00440111" w:rsidRDefault="00440111" w:rsidP="00440111">
      <w:pPr>
        <w:rPr>
          <w:b/>
          <w:bCs/>
        </w:rPr>
      </w:pPr>
      <w:r w:rsidRPr="00440111">
        <w:rPr>
          <w:b/>
          <w:bCs/>
        </w:rPr>
        <w:t>3. Customer Segment Analysis</w:t>
      </w:r>
    </w:p>
    <w:p w14:paraId="7C6942F4" w14:textId="77777777" w:rsidR="00440111" w:rsidRPr="00440111" w:rsidRDefault="00440111" w:rsidP="00440111">
      <w:r w:rsidRPr="00440111">
        <w:t xml:space="preserve">At the </w:t>
      </w:r>
      <w:proofErr w:type="spellStart"/>
      <w:r w:rsidRPr="00440111">
        <w:t>lifestage</w:t>
      </w:r>
      <w:proofErr w:type="spellEnd"/>
      <w:r w:rsidRPr="00440111">
        <w:t xml:space="preserve"> level, the largest sales contributors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1189"/>
      </w:tblGrid>
      <w:tr w:rsidR="00440111" w:rsidRPr="00440111" w14:paraId="37E90A96" w14:textId="77777777">
        <w:trPr>
          <w:tblHeader/>
          <w:tblCellSpacing w:w="15" w:type="dxa"/>
        </w:trPr>
        <w:tc>
          <w:tcPr>
            <w:tcW w:w="0" w:type="auto"/>
            <w:vAlign w:val="center"/>
            <w:hideMark/>
          </w:tcPr>
          <w:p w14:paraId="6D3A92DC" w14:textId="77777777" w:rsidR="00440111" w:rsidRPr="00440111" w:rsidRDefault="00440111" w:rsidP="00440111">
            <w:pPr>
              <w:rPr>
                <w:b/>
                <w:bCs/>
              </w:rPr>
            </w:pPr>
            <w:proofErr w:type="spellStart"/>
            <w:r w:rsidRPr="00440111">
              <w:rPr>
                <w:b/>
                <w:bCs/>
              </w:rPr>
              <w:t>Lifestage</w:t>
            </w:r>
            <w:proofErr w:type="spellEnd"/>
          </w:p>
        </w:tc>
        <w:tc>
          <w:tcPr>
            <w:tcW w:w="0" w:type="auto"/>
            <w:vAlign w:val="center"/>
            <w:hideMark/>
          </w:tcPr>
          <w:p w14:paraId="7B20E473" w14:textId="77777777" w:rsidR="00440111" w:rsidRPr="00440111" w:rsidRDefault="00440111" w:rsidP="00440111">
            <w:pPr>
              <w:rPr>
                <w:b/>
                <w:bCs/>
              </w:rPr>
            </w:pPr>
            <w:r w:rsidRPr="00440111">
              <w:rPr>
                <w:b/>
                <w:bCs/>
              </w:rPr>
              <w:t>Total Sales</w:t>
            </w:r>
          </w:p>
        </w:tc>
      </w:tr>
      <w:tr w:rsidR="00440111" w:rsidRPr="00440111" w14:paraId="72E77ECB" w14:textId="77777777">
        <w:trPr>
          <w:tblCellSpacing w:w="15" w:type="dxa"/>
        </w:trPr>
        <w:tc>
          <w:tcPr>
            <w:tcW w:w="0" w:type="auto"/>
            <w:vAlign w:val="center"/>
            <w:hideMark/>
          </w:tcPr>
          <w:p w14:paraId="0247EB3F" w14:textId="77777777" w:rsidR="00440111" w:rsidRPr="00440111" w:rsidRDefault="00440111" w:rsidP="00440111">
            <w:r w:rsidRPr="00440111">
              <w:t>Older Singles/Couples</w:t>
            </w:r>
          </w:p>
        </w:tc>
        <w:tc>
          <w:tcPr>
            <w:tcW w:w="0" w:type="auto"/>
            <w:vAlign w:val="center"/>
            <w:hideMark/>
          </w:tcPr>
          <w:p w14:paraId="1C187FB2" w14:textId="77777777" w:rsidR="00440111" w:rsidRPr="00440111" w:rsidRDefault="00440111" w:rsidP="00440111">
            <w:r w:rsidRPr="00440111">
              <w:t>$402,420.75</w:t>
            </w:r>
          </w:p>
        </w:tc>
      </w:tr>
      <w:tr w:rsidR="00440111" w:rsidRPr="00440111" w14:paraId="38FC9BD9" w14:textId="77777777">
        <w:trPr>
          <w:tblCellSpacing w:w="15" w:type="dxa"/>
        </w:trPr>
        <w:tc>
          <w:tcPr>
            <w:tcW w:w="0" w:type="auto"/>
            <w:vAlign w:val="center"/>
            <w:hideMark/>
          </w:tcPr>
          <w:p w14:paraId="35F82C41" w14:textId="77777777" w:rsidR="00440111" w:rsidRPr="00440111" w:rsidRDefault="00440111" w:rsidP="00440111">
            <w:r w:rsidRPr="00440111">
              <w:t>Retirees</w:t>
            </w:r>
          </w:p>
        </w:tc>
        <w:tc>
          <w:tcPr>
            <w:tcW w:w="0" w:type="auto"/>
            <w:vAlign w:val="center"/>
            <w:hideMark/>
          </w:tcPr>
          <w:p w14:paraId="0CC692DB" w14:textId="77777777" w:rsidR="00440111" w:rsidRPr="00440111" w:rsidRDefault="00440111" w:rsidP="00440111">
            <w:r w:rsidRPr="00440111">
              <w:t>$366,470.90</w:t>
            </w:r>
          </w:p>
        </w:tc>
      </w:tr>
      <w:tr w:rsidR="00440111" w:rsidRPr="00440111" w14:paraId="473FA173" w14:textId="77777777">
        <w:trPr>
          <w:tblCellSpacing w:w="15" w:type="dxa"/>
        </w:trPr>
        <w:tc>
          <w:tcPr>
            <w:tcW w:w="0" w:type="auto"/>
            <w:vAlign w:val="center"/>
            <w:hideMark/>
          </w:tcPr>
          <w:p w14:paraId="4DF3A7D3" w14:textId="77777777" w:rsidR="00440111" w:rsidRPr="00440111" w:rsidRDefault="00440111" w:rsidP="00440111">
            <w:r w:rsidRPr="00440111">
              <w:t>Older Families</w:t>
            </w:r>
          </w:p>
        </w:tc>
        <w:tc>
          <w:tcPr>
            <w:tcW w:w="0" w:type="auto"/>
            <w:vAlign w:val="center"/>
            <w:hideMark/>
          </w:tcPr>
          <w:p w14:paraId="177A3B3F" w14:textId="77777777" w:rsidR="00440111" w:rsidRPr="00440111" w:rsidRDefault="00440111" w:rsidP="00440111">
            <w:r w:rsidRPr="00440111">
              <w:t>$353,767.20</w:t>
            </w:r>
          </w:p>
        </w:tc>
      </w:tr>
      <w:tr w:rsidR="00440111" w:rsidRPr="00440111" w14:paraId="233DAA9D" w14:textId="77777777">
        <w:trPr>
          <w:tblCellSpacing w:w="15" w:type="dxa"/>
        </w:trPr>
        <w:tc>
          <w:tcPr>
            <w:tcW w:w="0" w:type="auto"/>
            <w:vAlign w:val="center"/>
            <w:hideMark/>
          </w:tcPr>
          <w:p w14:paraId="6F219024" w14:textId="77777777" w:rsidR="00440111" w:rsidRPr="00440111" w:rsidRDefault="00440111" w:rsidP="00440111">
            <w:r w:rsidRPr="00440111">
              <w:t>Young Families</w:t>
            </w:r>
          </w:p>
        </w:tc>
        <w:tc>
          <w:tcPr>
            <w:tcW w:w="0" w:type="auto"/>
            <w:vAlign w:val="center"/>
            <w:hideMark/>
          </w:tcPr>
          <w:p w14:paraId="75A3AD56" w14:textId="77777777" w:rsidR="00440111" w:rsidRPr="00440111" w:rsidRDefault="00440111" w:rsidP="00440111">
            <w:r w:rsidRPr="00440111">
              <w:t>$316,160.10</w:t>
            </w:r>
          </w:p>
        </w:tc>
      </w:tr>
      <w:tr w:rsidR="00440111" w:rsidRPr="00440111" w14:paraId="48E4D375" w14:textId="77777777">
        <w:trPr>
          <w:tblCellSpacing w:w="15" w:type="dxa"/>
        </w:trPr>
        <w:tc>
          <w:tcPr>
            <w:tcW w:w="0" w:type="auto"/>
            <w:vAlign w:val="center"/>
            <w:hideMark/>
          </w:tcPr>
          <w:p w14:paraId="0FC711F2" w14:textId="77777777" w:rsidR="00440111" w:rsidRPr="00440111" w:rsidRDefault="00440111" w:rsidP="00440111">
            <w:r w:rsidRPr="00440111">
              <w:t>Young Singles/Couples</w:t>
            </w:r>
          </w:p>
        </w:tc>
        <w:tc>
          <w:tcPr>
            <w:tcW w:w="0" w:type="auto"/>
            <w:vAlign w:val="center"/>
            <w:hideMark/>
          </w:tcPr>
          <w:p w14:paraId="63081A46" w14:textId="77777777" w:rsidR="00440111" w:rsidRPr="00440111" w:rsidRDefault="00440111" w:rsidP="00440111">
            <w:r w:rsidRPr="00440111">
              <w:t>$260,405.30</w:t>
            </w:r>
          </w:p>
        </w:tc>
      </w:tr>
    </w:tbl>
    <w:p w14:paraId="0D911C27" w14:textId="77777777" w:rsidR="00440111" w:rsidRPr="00440111" w:rsidRDefault="00440111" w:rsidP="00440111">
      <w:r w:rsidRPr="00440111">
        <w:t>Older Singles/Couples generated the highest overall sales despite not being the largest customer group. This suggests that customers in this segment purchase more frequently or spend more over time than other groups.</w:t>
      </w:r>
    </w:p>
    <w:p w14:paraId="12F1C62F" w14:textId="77777777" w:rsidR="00440111" w:rsidRPr="00440111" w:rsidRDefault="00440111" w:rsidP="00440111">
      <w:r w:rsidRPr="00440111">
        <w:t>Retirees and Older Families also represent significant revenue contributors, collectively accounting for a substantial proportion of total sales.</w:t>
      </w:r>
    </w:p>
    <w:p w14:paraId="604CAD86" w14:textId="77777777" w:rsidR="00440111" w:rsidRPr="00440111" w:rsidRDefault="00440111" w:rsidP="00440111">
      <w:r w:rsidRPr="00440111">
        <w:lastRenderedPageBreak/>
        <w:t>Among customer value tiers, Mainstream customers generated the highest sales ($750,744.50), followed by Budget customers ($676,211.55) and Premium customers ($507,452.95). This indicates that mainstream customers represent the largest revenue opportunity for the business.</w:t>
      </w:r>
    </w:p>
    <w:p w14:paraId="78A9CD36" w14:textId="77777777" w:rsidR="00440111" w:rsidRPr="00440111" w:rsidRDefault="00440111" w:rsidP="00440111">
      <w:pPr>
        <w:rPr>
          <w:b/>
          <w:bCs/>
        </w:rPr>
      </w:pPr>
      <w:r w:rsidRPr="00440111">
        <w:rPr>
          <w:b/>
          <w:bCs/>
        </w:rPr>
        <w:t>4. Brand Performance</w:t>
      </w:r>
    </w:p>
    <w:p w14:paraId="25328129" w14:textId="77777777" w:rsidR="00440111" w:rsidRPr="00440111" w:rsidRDefault="00440111" w:rsidP="00440111">
      <w:r w:rsidRPr="00440111">
        <w:t>Sales are heavily concentrated among a few leading brands.</w:t>
      </w:r>
    </w:p>
    <w:p w14:paraId="1D91D524" w14:textId="77777777" w:rsidR="00440111" w:rsidRPr="00440111" w:rsidRDefault="00440111" w:rsidP="00440111">
      <w:r w:rsidRPr="00440111">
        <w:t xml:space="preserve">The highest-performing brand was </w:t>
      </w:r>
      <w:r w:rsidRPr="00440111">
        <w:rPr>
          <w:b/>
          <w:bCs/>
        </w:rPr>
        <w:t>Kettle</w:t>
      </w:r>
      <w:r w:rsidRPr="00440111">
        <w:t>, generating $390,239.80 in sales and selling 79,051 units. Kettle significantly outperformed all competing brands and represents the strongest contributor to category revenue.</w:t>
      </w:r>
    </w:p>
    <w:p w14:paraId="7EAA9859" w14:textId="77777777" w:rsidR="00440111" w:rsidRPr="00440111" w:rsidRDefault="00440111" w:rsidP="00440111">
      <w:r w:rsidRPr="00440111">
        <w:t>Other top-performing brands include:</w:t>
      </w:r>
    </w:p>
    <w:p w14:paraId="71A3791A" w14:textId="77777777" w:rsidR="00440111" w:rsidRPr="00440111" w:rsidRDefault="00440111" w:rsidP="00440111">
      <w:pPr>
        <w:numPr>
          <w:ilvl w:val="0"/>
          <w:numId w:val="1"/>
        </w:numPr>
      </w:pPr>
      <w:r w:rsidRPr="00440111">
        <w:t>Smiths ($210,070.80)</w:t>
      </w:r>
    </w:p>
    <w:p w14:paraId="2769D481" w14:textId="77777777" w:rsidR="00440111" w:rsidRPr="00440111" w:rsidRDefault="00440111" w:rsidP="00440111">
      <w:pPr>
        <w:numPr>
          <w:ilvl w:val="0"/>
          <w:numId w:val="1"/>
        </w:numPr>
      </w:pPr>
      <w:r w:rsidRPr="00440111">
        <w:t>Doritos ($201,538.90)</w:t>
      </w:r>
    </w:p>
    <w:p w14:paraId="220A2EA9" w14:textId="77777777" w:rsidR="00440111" w:rsidRPr="00440111" w:rsidRDefault="00440111" w:rsidP="00440111">
      <w:pPr>
        <w:numPr>
          <w:ilvl w:val="0"/>
          <w:numId w:val="1"/>
        </w:numPr>
      </w:pPr>
      <w:r w:rsidRPr="00440111">
        <w:t>Pringles ($177,655.50)</w:t>
      </w:r>
    </w:p>
    <w:p w14:paraId="7BACBC0B" w14:textId="77777777" w:rsidR="00440111" w:rsidRPr="00440111" w:rsidRDefault="00440111" w:rsidP="00440111">
      <w:pPr>
        <w:numPr>
          <w:ilvl w:val="0"/>
          <w:numId w:val="1"/>
        </w:numPr>
      </w:pPr>
      <w:r w:rsidRPr="00440111">
        <w:t>Old El Paso ($90,785.10)</w:t>
      </w:r>
    </w:p>
    <w:p w14:paraId="2CB6EA1C" w14:textId="77777777" w:rsidR="00440111" w:rsidRPr="00440111" w:rsidRDefault="00440111" w:rsidP="00440111">
      <w:r w:rsidRPr="00440111">
        <w:t>Together, the top four brands account for a large share of total category sales, indicating strong customer preference and brand loyalty toward these products.</w:t>
      </w:r>
    </w:p>
    <w:p w14:paraId="003FEE3F" w14:textId="77777777" w:rsidR="00440111" w:rsidRPr="00440111" w:rsidRDefault="00440111" w:rsidP="00440111">
      <w:pPr>
        <w:rPr>
          <w:b/>
          <w:bCs/>
        </w:rPr>
      </w:pPr>
      <w:r w:rsidRPr="00440111">
        <w:rPr>
          <w:b/>
          <w:bCs/>
        </w:rPr>
        <w:t>5. Pack Size Analysis</w:t>
      </w:r>
    </w:p>
    <w:p w14:paraId="2FA39199" w14:textId="77777777" w:rsidR="00440111" w:rsidRPr="00440111" w:rsidRDefault="00440111" w:rsidP="00440111">
      <w:r w:rsidRPr="00440111">
        <w:t xml:space="preserve">The most popular pack size was </w:t>
      </w:r>
      <w:r w:rsidRPr="00440111">
        <w:rPr>
          <w:b/>
          <w:bCs/>
        </w:rPr>
        <w:t>175g</w:t>
      </w:r>
      <w:r w:rsidRPr="00440111">
        <w:t>, generating $485,431.40 in sales and accounting for 126,465 units sold. This pack size substantially outperformed all others.</w:t>
      </w:r>
    </w:p>
    <w:p w14:paraId="31156297" w14:textId="77777777" w:rsidR="00440111" w:rsidRPr="00440111" w:rsidRDefault="00440111" w:rsidP="00440111">
      <w:r w:rsidRPr="00440111">
        <w:t>Other high-performing pack sizes include:</w:t>
      </w:r>
    </w:p>
    <w:p w14:paraId="1C741213" w14:textId="77777777" w:rsidR="00440111" w:rsidRPr="00440111" w:rsidRDefault="00440111" w:rsidP="00440111">
      <w:pPr>
        <w:numPr>
          <w:ilvl w:val="0"/>
          <w:numId w:val="2"/>
        </w:numPr>
      </w:pPr>
      <w:r w:rsidRPr="00440111">
        <w:t>150g ($304,288.50)</w:t>
      </w:r>
    </w:p>
    <w:p w14:paraId="2BE626DD" w14:textId="77777777" w:rsidR="00440111" w:rsidRPr="00440111" w:rsidRDefault="00440111" w:rsidP="00440111">
      <w:pPr>
        <w:numPr>
          <w:ilvl w:val="0"/>
          <w:numId w:val="2"/>
        </w:numPr>
      </w:pPr>
      <w:r w:rsidRPr="00440111">
        <w:t>134g ($177,655.50)</w:t>
      </w:r>
    </w:p>
    <w:p w14:paraId="376DBC76" w14:textId="77777777" w:rsidR="00440111" w:rsidRPr="00440111" w:rsidRDefault="00440111" w:rsidP="00440111">
      <w:pPr>
        <w:numPr>
          <w:ilvl w:val="0"/>
          <w:numId w:val="2"/>
        </w:numPr>
      </w:pPr>
      <w:r w:rsidRPr="00440111">
        <w:t>110g ($162,765.40)</w:t>
      </w:r>
    </w:p>
    <w:p w14:paraId="07E3BBFC" w14:textId="77777777" w:rsidR="00440111" w:rsidRPr="00440111" w:rsidRDefault="00440111" w:rsidP="00440111">
      <w:pPr>
        <w:numPr>
          <w:ilvl w:val="0"/>
          <w:numId w:val="2"/>
        </w:numPr>
      </w:pPr>
      <w:r w:rsidRPr="00440111">
        <w:t>170g ($146,673.00)</w:t>
      </w:r>
    </w:p>
    <w:p w14:paraId="46AF601A" w14:textId="77777777" w:rsidR="00440111" w:rsidRPr="00440111" w:rsidRDefault="00440111" w:rsidP="00440111">
      <w:r w:rsidRPr="00440111">
        <w:t>The results suggest that customers generally prefer medium-sized packs between 150g and 175g, while larger pack sizes contribute less to total sales.</w:t>
      </w:r>
    </w:p>
    <w:p w14:paraId="5106B011" w14:textId="77777777" w:rsidR="00440111" w:rsidRPr="00440111" w:rsidRDefault="00440111" w:rsidP="00440111">
      <w:pPr>
        <w:rPr>
          <w:b/>
          <w:bCs/>
        </w:rPr>
      </w:pPr>
      <w:r w:rsidRPr="00440111">
        <w:rPr>
          <w:b/>
          <w:bCs/>
        </w:rPr>
        <w:t>6. Initial Business Insights</w:t>
      </w:r>
    </w:p>
    <w:p w14:paraId="089D683A" w14:textId="77777777" w:rsidR="00440111" w:rsidRPr="00440111" w:rsidRDefault="00440111" w:rsidP="00440111">
      <w:r w:rsidRPr="00440111">
        <w:t>The analysis indicates that sales are primarily driven by Older Families, Retirees, Older Singles/Couples, and Young Families. These customer groups demonstrate strong purchasing frequency and account for a significant share of total revenue.</w:t>
      </w:r>
    </w:p>
    <w:p w14:paraId="19B429B4" w14:textId="77777777" w:rsidR="00440111" w:rsidRPr="00440111" w:rsidRDefault="00440111" w:rsidP="00440111">
      <w:r w:rsidRPr="00440111">
        <w:t>Mainstream customers represent the largest revenue-generating customer category, while Budget customers also contribute substantially through high transaction volumes.</w:t>
      </w:r>
    </w:p>
    <w:p w14:paraId="2FB08D72" w14:textId="77777777" w:rsidR="00440111" w:rsidRPr="00440111" w:rsidRDefault="00440111" w:rsidP="00440111">
      <w:r w:rsidRPr="00440111">
        <w:t>Kettle is the dominant brand within the category, suggesting that maintaining strong inventory levels and promotional activity for this brand is critical.</w:t>
      </w:r>
    </w:p>
    <w:p w14:paraId="232F2AF4" w14:textId="77777777" w:rsidR="00440111" w:rsidRPr="00440111" w:rsidRDefault="00440111" w:rsidP="00440111">
      <w:r w:rsidRPr="00440111">
        <w:t>Pack sizes between 150g and 175g generate the highest sales and should receive priority in inventory planning and merchandising activities.</w:t>
      </w:r>
    </w:p>
    <w:p w14:paraId="638F92A1" w14:textId="77777777" w:rsidR="00440111" w:rsidRPr="00440111" w:rsidRDefault="00440111" w:rsidP="00440111">
      <w:r w:rsidRPr="00440111">
        <w:lastRenderedPageBreak/>
        <w:t>These findings suggest that future marketing and promotional efforts should focus on high-value customer segments and top-performing product categories to maximize sales growth and customer retention.</w:t>
      </w:r>
    </w:p>
    <w:p w14:paraId="0E3DEFCF" w14:textId="77777777" w:rsidR="00990DEF" w:rsidRDefault="00990DEF"/>
    <w:sectPr w:rsidR="00990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E5DF0"/>
    <w:multiLevelType w:val="multilevel"/>
    <w:tmpl w:val="10F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A4541"/>
    <w:multiLevelType w:val="multilevel"/>
    <w:tmpl w:val="1F1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020039">
    <w:abstractNumId w:val="1"/>
  </w:num>
  <w:num w:numId="2" w16cid:durableId="90059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3AD"/>
    <w:rsid w:val="00232E9A"/>
    <w:rsid w:val="002433AD"/>
    <w:rsid w:val="00440111"/>
    <w:rsid w:val="00470BBC"/>
    <w:rsid w:val="004A0184"/>
    <w:rsid w:val="005C15FE"/>
    <w:rsid w:val="005F4E9E"/>
    <w:rsid w:val="006C03B1"/>
    <w:rsid w:val="008D31AE"/>
    <w:rsid w:val="0091148F"/>
    <w:rsid w:val="00990DEF"/>
    <w:rsid w:val="00CA0526"/>
    <w:rsid w:val="00E061B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04165-9B63-4EF9-B303-F45F5B181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3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3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Contact"/>
    <w:basedOn w:val="Normal"/>
    <w:next w:val="Normal"/>
    <w:link w:val="Heading3Char"/>
    <w:autoRedefine/>
    <w:uiPriority w:val="9"/>
    <w:semiHidden/>
    <w:qFormat/>
    <w:rsid w:val="00990DEF"/>
    <w:pPr>
      <w:keepNext/>
      <w:keepLines/>
      <w:spacing w:before="240" w:after="0" w:line="240" w:lineRule="auto"/>
      <w:jc w:val="both"/>
      <w:outlineLvl w:val="2"/>
    </w:pPr>
    <w:rPr>
      <w:rFonts w:ascii="Arial Black" w:eastAsiaTheme="majorEastAsia" w:hAnsi="Arial Black" w:cs="Times New Roman (Headings CS)"/>
      <w:b/>
      <w:color w:val="000000" w:themeColor="text1"/>
      <w:spacing w:val="-10"/>
      <w:kern w:val="0"/>
      <w:sz w:val="24"/>
      <w:szCs w:val="24"/>
      <w:lang w:val="en-US" w:eastAsia="ja-JP"/>
      <w14:ligatures w14:val="none"/>
    </w:rPr>
  </w:style>
  <w:style w:type="paragraph" w:styleId="Heading4">
    <w:name w:val="heading 4"/>
    <w:basedOn w:val="Normal"/>
    <w:next w:val="Normal"/>
    <w:link w:val="Heading4Char"/>
    <w:uiPriority w:val="9"/>
    <w:semiHidden/>
    <w:unhideWhenUsed/>
    <w:qFormat/>
    <w:rsid w:val="002433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3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Contact Char"/>
    <w:basedOn w:val="DefaultParagraphFont"/>
    <w:link w:val="Heading3"/>
    <w:uiPriority w:val="9"/>
    <w:semiHidden/>
    <w:rsid w:val="00990DEF"/>
    <w:rPr>
      <w:rFonts w:ascii="Arial Black" w:eastAsiaTheme="majorEastAsia" w:hAnsi="Arial Black" w:cs="Times New Roman (Headings CS)"/>
      <w:b/>
      <w:color w:val="000000" w:themeColor="text1"/>
      <w:spacing w:val="-10"/>
      <w:kern w:val="0"/>
      <w:sz w:val="24"/>
      <w:szCs w:val="24"/>
      <w:lang w:val="en-US" w:eastAsia="ja-JP"/>
      <w14:ligatures w14:val="none"/>
    </w:rPr>
  </w:style>
  <w:style w:type="character" w:customStyle="1" w:styleId="Heading1Char">
    <w:name w:val="Heading 1 Char"/>
    <w:basedOn w:val="DefaultParagraphFont"/>
    <w:link w:val="Heading1"/>
    <w:uiPriority w:val="9"/>
    <w:rsid w:val="002433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3AD"/>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2433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3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3AD"/>
    <w:rPr>
      <w:rFonts w:eastAsiaTheme="majorEastAsia" w:cstheme="majorBidi"/>
      <w:color w:val="272727" w:themeColor="text1" w:themeTint="D8"/>
    </w:rPr>
  </w:style>
  <w:style w:type="paragraph" w:styleId="Title">
    <w:name w:val="Title"/>
    <w:basedOn w:val="Normal"/>
    <w:next w:val="Normal"/>
    <w:link w:val="TitleChar"/>
    <w:uiPriority w:val="10"/>
    <w:qFormat/>
    <w:rsid w:val="00243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3AD"/>
    <w:pPr>
      <w:spacing w:before="160"/>
      <w:jc w:val="center"/>
    </w:pPr>
    <w:rPr>
      <w:i/>
      <w:iCs/>
      <w:color w:val="404040" w:themeColor="text1" w:themeTint="BF"/>
    </w:rPr>
  </w:style>
  <w:style w:type="character" w:customStyle="1" w:styleId="QuoteChar">
    <w:name w:val="Quote Char"/>
    <w:basedOn w:val="DefaultParagraphFont"/>
    <w:link w:val="Quote"/>
    <w:uiPriority w:val="29"/>
    <w:rsid w:val="002433AD"/>
    <w:rPr>
      <w:i/>
      <w:iCs/>
      <w:color w:val="404040" w:themeColor="text1" w:themeTint="BF"/>
    </w:rPr>
  </w:style>
  <w:style w:type="paragraph" w:styleId="ListParagraph">
    <w:name w:val="List Paragraph"/>
    <w:basedOn w:val="Normal"/>
    <w:uiPriority w:val="34"/>
    <w:qFormat/>
    <w:rsid w:val="002433AD"/>
    <w:pPr>
      <w:ind w:left="720"/>
      <w:contextualSpacing/>
    </w:pPr>
  </w:style>
  <w:style w:type="character" w:styleId="IntenseEmphasis">
    <w:name w:val="Intense Emphasis"/>
    <w:basedOn w:val="DefaultParagraphFont"/>
    <w:uiPriority w:val="21"/>
    <w:qFormat/>
    <w:rsid w:val="002433AD"/>
    <w:rPr>
      <w:i/>
      <w:iCs/>
      <w:color w:val="2F5496" w:themeColor="accent1" w:themeShade="BF"/>
    </w:rPr>
  </w:style>
  <w:style w:type="paragraph" w:styleId="IntenseQuote">
    <w:name w:val="Intense Quote"/>
    <w:basedOn w:val="Normal"/>
    <w:next w:val="Normal"/>
    <w:link w:val="IntenseQuoteChar"/>
    <w:uiPriority w:val="30"/>
    <w:qFormat/>
    <w:rsid w:val="00243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3AD"/>
    <w:rPr>
      <w:i/>
      <w:iCs/>
      <w:color w:val="2F5496" w:themeColor="accent1" w:themeShade="BF"/>
    </w:rPr>
  </w:style>
  <w:style w:type="character" w:styleId="IntenseReference">
    <w:name w:val="Intense Reference"/>
    <w:basedOn w:val="DefaultParagraphFont"/>
    <w:uiPriority w:val="32"/>
    <w:qFormat/>
    <w:rsid w:val="002433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M Appannavar</dc:creator>
  <cp:keywords/>
  <dc:description/>
  <cp:lastModifiedBy>Khushi M Appannavar</cp:lastModifiedBy>
  <cp:revision>2</cp:revision>
  <dcterms:created xsi:type="dcterms:W3CDTF">2026-07-05T12:25:00Z</dcterms:created>
  <dcterms:modified xsi:type="dcterms:W3CDTF">2026-07-05T12:26:00Z</dcterms:modified>
</cp:coreProperties>
</file>