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260B1" w14:textId="77777777" w:rsidR="005D50BC" w:rsidRDefault="005D50BC" w:rsidP="005D50BC">
      <w:pPr>
        <w:jc w:val="center"/>
        <w:rPr>
          <w:sz w:val="56"/>
          <w:szCs w:val="56"/>
        </w:rPr>
      </w:pPr>
      <w:r>
        <w:rPr>
          <w:sz w:val="56"/>
          <w:szCs w:val="56"/>
        </w:rPr>
        <w:t>Week-</w:t>
      </w:r>
      <w:r w:rsidR="002E68E7">
        <w:rPr>
          <w:sz w:val="56"/>
          <w:szCs w:val="56"/>
        </w:rPr>
        <w:t>2</w:t>
      </w:r>
      <w:r>
        <w:rPr>
          <w:sz w:val="56"/>
          <w:szCs w:val="56"/>
        </w:rPr>
        <w:t xml:space="preserve"> Project</w:t>
      </w:r>
    </w:p>
    <w:p w14:paraId="7BB45498" w14:textId="77777777" w:rsidR="005D50BC" w:rsidRDefault="005D50BC" w:rsidP="005D50BC">
      <w:pPr>
        <w:jc w:val="center"/>
        <w:rPr>
          <w:sz w:val="56"/>
          <w:szCs w:val="56"/>
        </w:rPr>
      </w:pPr>
      <w:r>
        <w:rPr>
          <w:sz w:val="56"/>
          <w:szCs w:val="56"/>
        </w:rPr>
        <w:t>Insights and Summary</w:t>
      </w:r>
    </w:p>
    <w:p w14:paraId="501E3371" w14:textId="77777777" w:rsidR="002E68E7" w:rsidRPr="002E68E7" w:rsidRDefault="002E68E7" w:rsidP="002E68E7">
      <w:pPr>
        <w:jc w:val="both"/>
        <w:rPr>
          <w:sz w:val="30"/>
          <w:szCs w:val="30"/>
        </w:rPr>
      </w:pPr>
      <w:r w:rsidRPr="002E68E7">
        <w:rPr>
          <w:sz w:val="30"/>
          <w:szCs w:val="30"/>
        </w:rPr>
        <w:t xml:space="preserve">Here </w:t>
      </w:r>
      <w:proofErr w:type="gramStart"/>
      <w:r w:rsidRPr="002E68E7">
        <w:rPr>
          <w:sz w:val="30"/>
          <w:szCs w:val="30"/>
        </w:rPr>
        <w:t>is</w:t>
      </w:r>
      <w:proofErr w:type="gramEnd"/>
      <w:r w:rsidRPr="002E68E7">
        <w:rPr>
          <w:sz w:val="30"/>
          <w:szCs w:val="30"/>
        </w:rPr>
        <w:t xml:space="preserve"> the point-by-point breakdown of the model's findings and my recommendations for our retention strategy, written entirely in non-technical language.</w:t>
      </w:r>
    </w:p>
    <w:p w14:paraId="31A8695E" w14:textId="77777777" w:rsidR="002E68E7" w:rsidRPr="002E68E7" w:rsidRDefault="002E68E7" w:rsidP="002E68E7">
      <w:pPr>
        <w:jc w:val="both"/>
        <w:rPr>
          <w:sz w:val="30"/>
          <w:szCs w:val="30"/>
        </w:rPr>
      </w:pPr>
    </w:p>
    <w:p w14:paraId="24DF0388" w14:textId="77777777" w:rsidR="002E68E7" w:rsidRPr="002E68E7" w:rsidRDefault="002E68E7" w:rsidP="002E68E7">
      <w:pPr>
        <w:jc w:val="both"/>
        <w:rPr>
          <w:sz w:val="30"/>
          <w:szCs w:val="30"/>
        </w:rPr>
      </w:pPr>
      <w:r w:rsidRPr="002E68E7">
        <w:rPr>
          <w:sz w:val="30"/>
          <w:szCs w:val="30"/>
        </w:rPr>
        <w:t>1. Which 3 factors most strongly predict that an employee will leave?</w:t>
      </w:r>
    </w:p>
    <w:p w14:paraId="1A973DB8" w14:textId="77777777" w:rsidR="002E68E7" w:rsidRPr="002E68E7" w:rsidRDefault="002E68E7" w:rsidP="002E68E7">
      <w:pPr>
        <w:jc w:val="both"/>
        <w:rPr>
          <w:sz w:val="30"/>
          <w:szCs w:val="30"/>
        </w:rPr>
      </w:pPr>
    </w:p>
    <w:p w14:paraId="37276FFF" w14:textId="77777777" w:rsidR="002E68E7" w:rsidRPr="002E68E7" w:rsidRDefault="002E68E7" w:rsidP="002E68E7">
      <w:pPr>
        <w:jc w:val="both"/>
        <w:rPr>
          <w:sz w:val="30"/>
          <w:szCs w:val="30"/>
        </w:rPr>
      </w:pPr>
      <w:r w:rsidRPr="002E68E7">
        <w:rPr>
          <w:sz w:val="30"/>
          <w:szCs w:val="30"/>
        </w:rPr>
        <w:t>Based on the patterns learned by our model, the three strongest indicators that an employee is at risk of leaving are Monthly Income, Age, and Total Working Years. Employees who are younger, early in their careers, or sitting at the lower end of our pay scales show the highest statistical probability of resigning.</w:t>
      </w:r>
    </w:p>
    <w:p w14:paraId="7F004D4B" w14:textId="77777777" w:rsidR="002E68E7" w:rsidRPr="002E68E7" w:rsidRDefault="002E68E7" w:rsidP="002E68E7">
      <w:pPr>
        <w:jc w:val="both"/>
        <w:rPr>
          <w:sz w:val="30"/>
          <w:szCs w:val="30"/>
        </w:rPr>
      </w:pPr>
    </w:p>
    <w:p w14:paraId="49A23746" w14:textId="77777777" w:rsidR="002E68E7" w:rsidRPr="002E68E7" w:rsidRDefault="002E68E7" w:rsidP="002E68E7">
      <w:pPr>
        <w:jc w:val="both"/>
        <w:rPr>
          <w:sz w:val="30"/>
          <w:szCs w:val="30"/>
        </w:rPr>
      </w:pPr>
      <w:r w:rsidRPr="002E68E7">
        <w:rPr>
          <w:sz w:val="30"/>
          <w:szCs w:val="30"/>
        </w:rPr>
        <w:t>2. Which department or job role should HR prioritize for retention efforts?</w:t>
      </w:r>
    </w:p>
    <w:p w14:paraId="6F2F4A2D" w14:textId="77777777" w:rsidR="002E68E7" w:rsidRPr="002E68E7" w:rsidRDefault="002E68E7" w:rsidP="002E68E7">
      <w:pPr>
        <w:jc w:val="both"/>
        <w:rPr>
          <w:sz w:val="30"/>
          <w:szCs w:val="30"/>
        </w:rPr>
      </w:pPr>
    </w:p>
    <w:p w14:paraId="043D80B6" w14:textId="77777777" w:rsidR="002E68E7" w:rsidRPr="002E68E7" w:rsidRDefault="002E68E7" w:rsidP="002E68E7">
      <w:pPr>
        <w:jc w:val="both"/>
        <w:rPr>
          <w:sz w:val="30"/>
          <w:szCs w:val="30"/>
        </w:rPr>
      </w:pPr>
      <w:r w:rsidRPr="002E68E7">
        <w:rPr>
          <w:sz w:val="30"/>
          <w:szCs w:val="30"/>
        </w:rPr>
        <w:t>We should immediately focus our efforts on the Sales and Research &amp; Development (R&amp;D) departments. Looking closer at specific roles within those areas, Sales Executives and Research Scientists represent our highest volume of departures and should be our top priority for targeted retention.</w:t>
      </w:r>
    </w:p>
    <w:p w14:paraId="467F6A02" w14:textId="77777777" w:rsidR="002E68E7" w:rsidRPr="002E68E7" w:rsidRDefault="002E68E7" w:rsidP="002E68E7">
      <w:pPr>
        <w:jc w:val="both"/>
        <w:rPr>
          <w:sz w:val="30"/>
          <w:szCs w:val="30"/>
        </w:rPr>
      </w:pPr>
    </w:p>
    <w:p w14:paraId="2112A8CB" w14:textId="77777777" w:rsidR="002E68E7" w:rsidRPr="002E68E7" w:rsidRDefault="002E68E7" w:rsidP="002E68E7">
      <w:pPr>
        <w:jc w:val="both"/>
        <w:rPr>
          <w:sz w:val="30"/>
          <w:szCs w:val="30"/>
        </w:rPr>
      </w:pPr>
      <w:r w:rsidRPr="002E68E7">
        <w:rPr>
          <w:sz w:val="30"/>
          <w:szCs w:val="30"/>
        </w:rPr>
        <w:t>3. Does salary alone explain attrition or are there other stronger factors?</w:t>
      </w:r>
    </w:p>
    <w:p w14:paraId="63E233F5" w14:textId="77777777" w:rsidR="002E68E7" w:rsidRPr="002E68E7" w:rsidRDefault="002E68E7" w:rsidP="002E68E7">
      <w:pPr>
        <w:jc w:val="both"/>
        <w:rPr>
          <w:sz w:val="30"/>
          <w:szCs w:val="30"/>
        </w:rPr>
      </w:pPr>
    </w:p>
    <w:p w14:paraId="77F03164" w14:textId="77777777" w:rsidR="002E68E7" w:rsidRPr="002E68E7" w:rsidRDefault="002E68E7" w:rsidP="002E68E7">
      <w:pPr>
        <w:jc w:val="both"/>
        <w:rPr>
          <w:sz w:val="30"/>
          <w:szCs w:val="30"/>
        </w:rPr>
      </w:pPr>
      <w:r w:rsidRPr="002E68E7">
        <w:rPr>
          <w:sz w:val="30"/>
          <w:szCs w:val="30"/>
        </w:rPr>
        <w:t xml:space="preserve">No, salary is only part of the story. While baseline compensation matters significantly, lifestyle and workload pressures—specifically heavy overtime demands and a documented lack of work-life balance—are actually much </w:t>
      </w:r>
      <w:r w:rsidRPr="002E68E7">
        <w:rPr>
          <w:sz w:val="30"/>
          <w:szCs w:val="30"/>
        </w:rPr>
        <w:lastRenderedPageBreak/>
        <w:t>stronger catalysts pushing employees to exit, even when they are satisfied with their pay.</w:t>
      </w:r>
    </w:p>
    <w:p w14:paraId="54A3BF0A" w14:textId="77777777" w:rsidR="002E68E7" w:rsidRPr="002E68E7" w:rsidRDefault="002E68E7" w:rsidP="002E68E7">
      <w:pPr>
        <w:jc w:val="both"/>
        <w:rPr>
          <w:sz w:val="30"/>
          <w:szCs w:val="30"/>
        </w:rPr>
      </w:pPr>
    </w:p>
    <w:p w14:paraId="28E4CA43" w14:textId="77777777" w:rsidR="002E68E7" w:rsidRPr="002E68E7" w:rsidRDefault="002E68E7" w:rsidP="002E68E7">
      <w:pPr>
        <w:jc w:val="both"/>
        <w:rPr>
          <w:sz w:val="30"/>
          <w:szCs w:val="30"/>
        </w:rPr>
      </w:pPr>
      <w:r w:rsidRPr="002E68E7">
        <w:rPr>
          <w:sz w:val="30"/>
          <w:szCs w:val="30"/>
        </w:rPr>
        <w:t>4. 2 Concrete HR Recommendations</w:t>
      </w:r>
    </w:p>
    <w:p w14:paraId="6C3027D5" w14:textId="77777777" w:rsidR="002E68E7" w:rsidRPr="002E68E7" w:rsidRDefault="002E68E7" w:rsidP="002E68E7">
      <w:pPr>
        <w:jc w:val="both"/>
        <w:rPr>
          <w:sz w:val="30"/>
          <w:szCs w:val="30"/>
        </w:rPr>
      </w:pPr>
    </w:p>
    <w:p w14:paraId="0E74F8C3" w14:textId="77777777" w:rsidR="002E68E7" w:rsidRPr="002E68E7" w:rsidRDefault="002E68E7" w:rsidP="002E68E7">
      <w:pPr>
        <w:jc w:val="both"/>
        <w:rPr>
          <w:sz w:val="30"/>
          <w:szCs w:val="30"/>
        </w:rPr>
      </w:pPr>
      <w:r w:rsidRPr="002E68E7">
        <w:rPr>
          <w:sz w:val="30"/>
          <w:szCs w:val="30"/>
        </w:rPr>
        <w:t>Proactive Milestone Conversations: HR should flag individuals in our high-risk roles (Sales Executives and Research Scientists) who are approaching critical 2-to-5-year tenure marks. We can implement proactive "stay interviews" and partner them with senior leaders in structured mentorship tracks to explicitly map out their future internal career progression.</w:t>
      </w:r>
    </w:p>
    <w:p w14:paraId="38781759" w14:textId="77777777" w:rsidR="002E68E7" w:rsidRPr="002E68E7" w:rsidRDefault="002E68E7" w:rsidP="002E68E7">
      <w:pPr>
        <w:jc w:val="both"/>
        <w:rPr>
          <w:sz w:val="30"/>
          <w:szCs w:val="30"/>
        </w:rPr>
      </w:pPr>
    </w:p>
    <w:p w14:paraId="7224883F" w14:textId="77777777" w:rsidR="002E68E7" w:rsidRPr="002E68E7" w:rsidRDefault="002E68E7" w:rsidP="002E68E7">
      <w:pPr>
        <w:jc w:val="both"/>
        <w:rPr>
          <w:sz w:val="30"/>
          <w:szCs w:val="30"/>
        </w:rPr>
      </w:pPr>
      <w:r w:rsidRPr="002E68E7">
        <w:rPr>
          <w:sz w:val="30"/>
          <w:szCs w:val="30"/>
        </w:rPr>
        <w:t>Overtime Burnout Triggers: We should set up an automated alert system that flags when an employee's logged overtime hours cross a set threshold in a single quarter. For teams with chronically high workloads (like Sales and R&amp;D), we can introduce flexible hybrid scheduling or a compensatory time-off policy to directly combat burnout.</w:t>
      </w:r>
    </w:p>
    <w:p w14:paraId="7E8BCDB2" w14:textId="77777777" w:rsidR="002E68E7" w:rsidRPr="002E68E7" w:rsidRDefault="002E68E7" w:rsidP="002E68E7">
      <w:pPr>
        <w:jc w:val="both"/>
        <w:rPr>
          <w:sz w:val="30"/>
          <w:szCs w:val="30"/>
        </w:rPr>
      </w:pPr>
    </w:p>
    <w:p w14:paraId="545F2CC2" w14:textId="77777777" w:rsidR="002E68E7" w:rsidRPr="002E68E7" w:rsidRDefault="002E68E7" w:rsidP="002E68E7">
      <w:pPr>
        <w:jc w:val="both"/>
        <w:rPr>
          <w:sz w:val="30"/>
          <w:szCs w:val="30"/>
        </w:rPr>
      </w:pPr>
      <w:r w:rsidRPr="002E68E7">
        <w:rPr>
          <w:sz w:val="30"/>
          <w:szCs w:val="30"/>
        </w:rPr>
        <w:t>5. What limitation does this model have that an HR team should be aware of?</w:t>
      </w:r>
    </w:p>
    <w:p w14:paraId="6244FB7F" w14:textId="77777777" w:rsidR="002E68E7" w:rsidRPr="002E68E7" w:rsidRDefault="002E68E7" w:rsidP="002E68E7">
      <w:pPr>
        <w:jc w:val="both"/>
        <w:rPr>
          <w:sz w:val="30"/>
          <w:szCs w:val="30"/>
        </w:rPr>
      </w:pPr>
    </w:p>
    <w:p w14:paraId="0B711BFE" w14:textId="77777777" w:rsidR="002E68E7" w:rsidRPr="002E68E7" w:rsidRDefault="002E68E7" w:rsidP="002E68E7">
      <w:pPr>
        <w:jc w:val="both"/>
        <w:rPr>
          <w:sz w:val="30"/>
          <w:szCs w:val="30"/>
        </w:rPr>
      </w:pPr>
      <w:r w:rsidRPr="002E68E7">
        <w:rPr>
          <w:sz w:val="30"/>
          <w:szCs w:val="30"/>
        </w:rPr>
        <w:t>The biggest limitation to keep in mind is that this model is a backward-looking tool built entirely on historical, numerical data. It is completely blind to real-time, qualitative human factors—like a sudden personality conflict with a new manager, personal family emergencies, or unexpected shifts in the job market. It should be used as a helpful guide to highlight risk, but it cannot replace human intuition and direct communication.</w:t>
      </w:r>
    </w:p>
    <w:p w14:paraId="0D4BA57C" w14:textId="77777777" w:rsidR="005D50BC" w:rsidRPr="005D50BC" w:rsidRDefault="005D50BC" w:rsidP="002E68E7">
      <w:pPr>
        <w:jc w:val="both"/>
        <w:rPr>
          <w:sz w:val="34"/>
          <w:szCs w:val="34"/>
        </w:rPr>
      </w:pPr>
    </w:p>
    <w:sectPr w:rsidR="005D50BC" w:rsidRPr="005D50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743F4A"/>
    <w:multiLevelType w:val="hybridMultilevel"/>
    <w:tmpl w:val="581225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02554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0BC"/>
    <w:rsid w:val="00295656"/>
    <w:rsid w:val="002E68E7"/>
    <w:rsid w:val="00350DAD"/>
    <w:rsid w:val="00481283"/>
    <w:rsid w:val="00535821"/>
    <w:rsid w:val="005D50BC"/>
    <w:rsid w:val="00611403"/>
    <w:rsid w:val="006C4DBA"/>
    <w:rsid w:val="00880BE3"/>
    <w:rsid w:val="00B82F31"/>
    <w:rsid w:val="00BA13CA"/>
    <w:rsid w:val="00C55E2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4AFD9"/>
  <w15:chartTrackingRefBased/>
  <w15:docId w15:val="{B456F8B2-F59C-4836-BECB-52B9AF1E5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0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50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50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50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50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50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0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0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0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0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50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50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50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50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50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0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0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0BC"/>
    <w:rPr>
      <w:rFonts w:eastAsiaTheme="majorEastAsia" w:cstheme="majorBidi"/>
      <w:color w:val="272727" w:themeColor="text1" w:themeTint="D8"/>
    </w:rPr>
  </w:style>
  <w:style w:type="paragraph" w:styleId="Title">
    <w:name w:val="Title"/>
    <w:basedOn w:val="Normal"/>
    <w:next w:val="Normal"/>
    <w:link w:val="TitleChar"/>
    <w:uiPriority w:val="10"/>
    <w:qFormat/>
    <w:rsid w:val="005D50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0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0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0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0BC"/>
    <w:pPr>
      <w:spacing w:before="160"/>
      <w:jc w:val="center"/>
    </w:pPr>
    <w:rPr>
      <w:i/>
      <w:iCs/>
      <w:color w:val="404040" w:themeColor="text1" w:themeTint="BF"/>
    </w:rPr>
  </w:style>
  <w:style w:type="character" w:customStyle="1" w:styleId="QuoteChar">
    <w:name w:val="Quote Char"/>
    <w:basedOn w:val="DefaultParagraphFont"/>
    <w:link w:val="Quote"/>
    <w:uiPriority w:val="29"/>
    <w:rsid w:val="005D50BC"/>
    <w:rPr>
      <w:i/>
      <w:iCs/>
      <w:color w:val="404040" w:themeColor="text1" w:themeTint="BF"/>
    </w:rPr>
  </w:style>
  <w:style w:type="paragraph" w:styleId="ListParagraph">
    <w:name w:val="List Paragraph"/>
    <w:basedOn w:val="Normal"/>
    <w:uiPriority w:val="34"/>
    <w:qFormat/>
    <w:rsid w:val="005D50BC"/>
    <w:pPr>
      <w:ind w:left="720"/>
      <w:contextualSpacing/>
    </w:pPr>
  </w:style>
  <w:style w:type="character" w:styleId="IntenseEmphasis">
    <w:name w:val="Intense Emphasis"/>
    <w:basedOn w:val="DefaultParagraphFont"/>
    <w:uiPriority w:val="21"/>
    <w:qFormat/>
    <w:rsid w:val="005D50BC"/>
    <w:rPr>
      <w:i/>
      <w:iCs/>
      <w:color w:val="2F5496" w:themeColor="accent1" w:themeShade="BF"/>
    </w:rPr>
  </w:style>
  <w:style w:type="paragraph" w:styleId="IntenseQuote">
    <w:name w:val="Intense Quote"/>
    <w:basedOn w:val="Normal"/>
    <w:next w:val="Normal"/>
    <w:link w:val="IntenseQuoteChar"/>
    <w:uiPriority w:val="30"/>
    <w:qFormat/>
    <w:rsid w:val="005D50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50BC"/>
    <w:rPr>
      <w:i/>
      <w:iCs/>
      <w:color w:val="2F5496" w:themeColor="accent1" w:themeShade="BF"/>
    </w:rPr>
  </w:style>
  <w:style w:type="character" w:styleId="IntenseReference">
    <w:name w:val="Intense Reference"/>
    <w:basedOn w:val="DefaultParagraphFont"/>
    <w:uiPriority w:val="32"/>
    <w:qFormat/>
    <w:rsid w:val="005D50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385</Words>
  <Characters>2201</Characters>
  <Application>Microsoft Office Word</Application>
  <DocSecurity>0</DocSecurity>
  <Lines>18</Lines>
  <Paragraphs>5</Paragraphs>
  <ScaleCrop>false</ScaleCrop>
  <Company/>
  <LinksUpToDate>false</LinksUpToDate>
  <CharactersWithSpaces>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Nimawat Family</dc:creator>
  <cp:keywords/>
  <dc:description/>
  <cp:lastModifiedBy>Nimawat Family</cp:lastModifiedBy>
  <cp:revision>1</cp:revision>
  <dcterms:created xsi:type="dcterms:W3CDTF">2026-06-29T18:39:00Z</dcterms:created>
  <dcterms:modified xsi:type="dcterms:W3CDTF">2026-06-29T18:40:00Z</dcterms:modified>
</cp:coreProperties>
</file>