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House Price Prediction – Executive Report</w:t>
      </w:r>
    </w:p>
    <w:p>
      <w:r>
        <w:t>Generated 23 September 2026</w:t>
      </w:r>
    </w:p>
    <w:p>
      <w:pPr>
        <w:pStyle w:val="Heading1"/>
      </w:pPr>
      <w:r>
        <w:t>Executive summary</w:t>
      </w:r>
    </w:p>
    <w:p>
      <w:r>
        <w:t>A Linear Regression model trained on 800 houses and evaluated on 200 unseen houses explains 99.8% of price variance (MAE $8,175, RMSE $10,071). Ridge and Lasso perform almost identically, so the simpler unregularised model is deployed.</w:t>
      </w:r>
    </w:p>
    <w:p>
      <w:pPr>
        <w:pStyle w:val="Heading1"/>
      </w:pPr>
      <w:r>
        <w:t>Approach</w:t>
      </w:r>
    </w:p>
    <w:p>
      <w:pPr>
        <w:pStyle w:val="ListBullet"/>
      </w:pPr>
      <w:r>
        <w:t>Data: house area, number of rooms and sale price.</w:t>
      </w:r>
    </w:p>
    <w:p>
      <w:pPr>
        <w:pStyle w:val="ListBullet"/>
      </w:pPr>
      <w:r>
        <w:t>Preprocessing: StandardScaler fitted on the training split only.</w:t>
      </w:r>
    </w:p>
    <w:p>
      <w:pPr>
        <w:pStyle w:val="ListBullet"/>
      </w:pPr>
      <w:r>
        <w:t>Models compared: Linear Regression, Ridge, Lasso (80/20 split, 5-fold CV).</w:t>
      </w:r>
    </w:p>
    <w:p>
      <w:pPr>
        <w:pStyle w:val="ListBullet"/>
      </w:pPr>
      <w:r>
        <w:t>Serving: Flask REST API (/predict) with a Streamlit front end.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Test R²</w:t>
            </w:r>
          </w:p>
        </w:tc>
        <w:tc>
          <w:tcPr>
            <w:tcW w:type="dxa" w:w="1728"/>
          </w:tcPr>
          <w:p>
            <w:r>
              <w:t>CV R²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8,175</w:t>
            </w:r>
          </w:p>
        </w:tc>
        <w:tc>
          <w:tcPr>
            <w:tcW w:type="dxa" w:w="1728"/>
          </w:tcPr>
          <w:p>
            <w:r>
              <w:t>10,071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Ridge (alpha=1.0)</w:t>
            </w:r>
          </w:p>
        </w:tc>
        <w:tc>
          <w:tcPr>
            <w:tcW w:type="dxa" w:w="1728"/>
          </w:tcPr>
          <w:p>
            <w:r>
              <w:t>8,242</w:t>
            </w:r>
          </w:p>
        </w:tc>
        <w:tc>
          <w:tcPr>
            <w:tcW w:type="dxa" w:w="1728"/>
          </w:tcPr>
          <w:p>
            <w:r>
              <w:t>10,123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Lasso (alpha=1.0)</w:t>
            </w:r>
          </w:p>
        </w:tc>
        <w:tc>
          <w:tcPr>
            <w:tcW w:type="dxa" w:w="1728"/>
          </w:tcPr>
          <w:p>
            <w:r>
              <w:t>8,175</w:t>
            </w:r>
          </w:p>
        </w:tc>
        <w:tc>
          <w:tcPr>
            <w:tcW w:type="dxa" w:w="1728"/>
          </w:tcPr>
          <w:p>
            <w:r>
              <w:t>10,072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</w:tbl>
    <w:p>
      <w:pPr>
        <w:pStyle w:val="Heading1"/>
      </w:pPr>
      <w:r>
        <w:t>Model coefficients (scaled features)</w:t>
      </w:r>
    </w:p>
    <w:p>
      <w:pPr>
        <w:pStyle w:val="ListBullet"/>
      </w:pPr>
      <w:r>
        <w:t>Square_Footage: 249,788 per standard deviation</w:t>
      </w:r>
    </w:p>
    <w:p>
      <w:pPr>
        <w:pStyle w:val="ListBullet"/>
      </w:pPr>
      <w:r>
        <w:t>Num_Bedrooms: 14,525 per standard deviation</w:t>
      </w:r>
    </w:p>
    <w:p>
      <w:pPr>
        <w:pStyle w:val="ListBullet"/>
      </w:pPr>
      <w:r>
        <w:t>Num_Bathrooms: 6,696 per standard deviation</w:t>
      </w:r>
    </w:p>
    <w:p>
      <w:pPr>
        <w:pStyle w:val="ListBullet"/>
      </w:pPr>
      <w:r>
        <w:t>Year_Built: 20,662 per standard deviation</w:t>
      </w:r>
    </w:p>
    <w:p>
      <w:pPr>
        <w:pStyle w:val="ListBullet"/>
      </w:pPr>
      <w:r>
        <w:t>Lot_Size: 19,088 per standard deviation</w:t>
      </w:r>
    </w:p>
    <w:p>
      <w:pPr>
        <w:pStyle w:val="ListBullet"/>
      </w:pPr>
      <w:r>
        <w:t>Garage_Size: 4,219 per standard deviation</w:t>
      </w:r>
    </w:p>
    <w:p>
      <w:pPr>
        <w:pStyle w:val="ListBullet"/>
      </w:pPr>
      <w:r>
        <w:t>Neighborhood_Quality: 335 per standard deviation</w:t>
      </w:r>
    </w:p>
    <w:p>
      <w:r>
        <w:t>Intercept: 618,576</w:t>
      </w:r>
    </w:p>
    <w:p>
      <w:pPr>
        <w:pStyle w:val="Heading1"/>
      </w:pPr>
      <w:r>
        <w:t>Charts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vs_ar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Price vs area, coloured by number of rooms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Actual vs predicted prices on the held-out test set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Distribution of residuals</w:t>
      </w:r>
    </w:p>
    <w:p>
      <w:r>
        <w:drawing>
          <wp:inline xmlns:a="http://schemas.openxmlformats.org/drawingml/2006/main" xmlns:pic="http://schemas.openxmlformats.org/drawingml/2006/picture">
            <wp:extent cx="475488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Test R² of Linear, Ridge and Lasso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