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Calibri" w:cs="Calibri" w:eastAsia="Calibri" w:hAnsi="Calibri"/>
          <w:b/>
          <w:bCs/>
          <w:color w:val="3B4AFF"/>
          <w:sz w:val="52"/>
          <w:szCs w:val="52"/>
        </w:rPr>
        <w:t xml:space="preserve">Multi-Agent Research Assistant</w:t>
      </w:r>
    </w:p>
    <w:p>
      <w:pPr>
        <w:spacing w:after="80"/>
      </w:pPr>
      <w:r>
        <w:rPr>
          <w:rFonts w:ascii="Calibri" w:cs="Calibri" w:eastAsia="Calibri" w:hAnsi="Calibri"/>
          <w:color w:val="555555"/>
          <w:sz w:val="32"/>
          <w:szCs w:val="32"/>
        </w:rPr>
        <w:t xml:space="preserve">Project Report</w:t>
      </w:r>
    </w:p>
    <w:p>
      <w:pPr>
        <w:spacing w:after="80"/>
      </w:pPr>
      <w:r>
        <w:rPr>
          <w:color w:val="888888"/>
          <w:sz w:val="22"/>
          <w:szCs w:val="22"/>
        </w:rPr>
        <w:t xml:space="preserve">B.Tech AI &amp; Data Science  ·  2026</w:t>
      </w:r>
    </w:p>
    <w:p>
      <w:pPr>
        <w:spacing w:after="480"/>
      </w:pPr>
      <w:r>
        <w:rPr>
          <w:color w:val="3B4AFF"/>
          <w:sz w:val="22"/>
          <w:szCs w:val="22"/>
        </w:rPr>
        <w:t xml:space="preserve">github.com/Khushi3743/Multi-Agent-Research-Assistant</w:t>
      </w:r>
    </w:p>
    <w:p>
      <w:r>
        <w:br w:type="page"/>
      </w:r>
    </w:p>
    <w:p>
      <w:pPr>
        <w:pStyle w:val="Heading1"/>
        <w:spacing w:after="120" w:before="320"/>
      </w:pPr>
      <w:r>
        <w:t xml:space="preserve">1. Project Overview</w:t>
      </w:r>
    </w:p>
    <w:p>
      <w:pPr>
        <w:spacing w:after="120"/>
      </w:pPr>
      <w:r>
        <w:rPr>
          <w:color w:val="222222"/>
          <w:sz w:val="22"/>
          <w:szCs w:val="22"/>
        </w:rPr>
        <w:t xml:space="preserve">This project builds and benchmarks two architectures for automated research question answering:</w:t>
      </w:r>
    </w:p>
    <w:p>
      <w:pPr>
        <w:pStyle w:val="ListParagraph"/>
        <w:numPr>
          <w:ilvl w:val="0"/>
          <w:numId w:val="1"/>
        </w:numPr>
        <w:spacing w:after="80"/>
      </w:pPr>
      <w:r>
        <w:rPr>
          <w:b/>
          <w:bCs/>
          <w:color w:val="111111"/>
          <w:sz w:val="22"/>
          <w:szCs w:val="22"/>
        </w:rPr>
        <w:t xml:space="preserve">• </w:t>
      </w:r>
      <w:r>
        <w:rPr>
          <w:color w:val="333333"/>
          <w:sz w:val="22"/>
          <w:szCs w:val="22"/>
        </w:rPr>
        <w:t xml:space="preserve">Baseline — a single web search followed by one LLM call to produce a cited report.</w:t>
      </w:r>
    </w:p>
    <w:p>
      <w:pPr>
        <w:pStyle w:val="ListParagraph"/>
        <w:numPr>
          <w:ilvl w:val="0"/>
          <w:numId w:val="1"/>
        </w:numPr>
        <w:spacing w:after="80"/>
      </w:pPr>
      <w:r>
        <w:rPr>
          <w:b/>
          <w:bCs/>
          <w:color w:val="111111"/>
          <w:sz w:val="22"/>
          <w:szCs w:val="22"/>
        </w:rPr>
        <w:t xml:space="preserve">• </w:t>
      </w:r>
      <w:r>
        <w:rPr>
          <w:color w:val="333333"/>
          <w:sz w:val="22"/>
          <w:szCs w:val="22"/>
        </w:rPr>
        <w:t xml:space="preserve">Multi-Agent Pipeline — a Planner agent decomposes the question into sub-questions, a Researcher agent searches the web for each, and a Synthesizer agent combines the findings into a structured report.</w:t>
      </w:r>
    </w:p>
    <w:p>
      <w:pPr>
        <w:spacing w:after="120"/>
      </w:pPr>
      <w:r>
        <w:rPr>
          <w:color w:val="222222"/>
          <w:sz w:val="22"/>
          <w:szCs w:val="22"/>
        </w:rPr>
        <w:t xml:space="preserve">The goal was to quantify whether agent decomposition improves output quality, and at what cost in latency.</w:t>
      </w:r>
    </w:p>
    <w:p>
      <w:pPr>
        <w:pStyle w:val="Heading1"/>
        <w:spacing w:after="120" w:before="320"/>
      </w:pPr>
      <w:r>
        <w:t xml:space="preserve">2. Architecture</w:t>
      </w:r>
    </w:p>
    <w:p>
      <w:pPr>
        <w:pStyle w:val="Heading2"/>
        <w:spacing w:after="80" w:before="240"/>
      </w:pPr>
      <w:r>
        <w:t xml:space="preserve">2.1 Baseline (src/baseline.py)</w:t>
      </w:r>
    </w:p>
    <w:p>
      <w:pPr>
        <w:pStyle w:val="ListParagraph"/>
        <w:numPr>
          <w:ilvl w:val="0"/>
          <w:numId w:val="1"/>
        </w:numPr>
        <w:spacing w:after="80"/>
      </w:pPr>
      <w:r>
        <w:rPr>
          <w:color w:val="333333"/>
          <w:sz w:val="22"/>
          <w:szCs w:val="22"/>
        </w:rPr>
        <w:t xml:space="preserve">Takes a research question as input</w:t>
      </w:r>
    </w:p>
    <w:p>
      <w:pPr>
        <w:pStyle w:val="ListParagraph"/>
        <w:numPr>
          <w:ilvl w:val="0"/>
          <w:numId w:val="1"/>
        </w:numPr>
        <w:spacing w:after="80"/>
      </w:pPr>
      <w:r>
        <w:rPr>
          <w:color w:val="333333"/>
          <w:sz w:val="22"/>
          <w:szCs w:val="22"/>
        </w:rPr>
        <w:t xml:space="preserve">Performs one Tavily web search (5 results)</w:t>
      </w:r>
    </w:p>
    <w:p>
      <w:pPr>
        <w:pStyle w:val="ListParagraph"/>
        <w:numPr>
          <w:ilvl w:val="0"/>
          <w:numId w:val="1"/>
        </w:numPr>
        <w:spacing w:after="80"/>
      </w:pPr>
      <w:r>
        <w:rPr>
          <w:color w:val="333333"/>
          <w:sz w:val="22"/>
          <w:szCs w:val="22"/>
        </w:rPr>
        <w:t xml:space="preserve">Passes all results + question to Groq LLaMA 3 in a single prompt</w:t>
      </w:r>
    </w:p>
    <w:p>
      <w:pPr>
        <w:pStyle w:val="ListParagraph"/>
        <w:numPr>
          <w:ilvl w:val="0"/>
          <w:numId w:val="1"/>
        </w:numPr>
        <w:spacing w:after="80"/>
      </w:pPr>
      <w:r>
        <w:rPr>
          <w:color w:val="333333"/>
          <w:sz w:val="22"/>
          <w:szCs w:val="22"/>
        </w:rPr>
        <w:t xml:space="preserve">Returns a cited report, source list, and timing</w:t>
      </w:r>
    </w:p>
    <w:p>
      <w:pPr>
        <w:pStyle w:val="Heading2"/>
        <w:spacing w:after="80" w:before="240"/>
      </w:pPr>
      <w:r>
        <w:t xml:space="preserve">2.2 Multi-Agent Pipeline (src/multi_agent.py)</w:t>
      </w:r>
    </w:p>
    <w:p>
      <w:pPr>
        <w:pStyle w:val="ListParagraph"/>
        <w:numPr>
          <w:ilvl w:val="0"/>
          <w:numId w:val="1"/>
        </w:numPr>
        <w:spacing w:after="80"/>
      </w:pPr>
      <w:r>
        <w:rPr>
          <w:color w:val="333333"/>
          <w:sz w:val="22"/>
          <w:szCs w:val="22"/>
        </w:rPr>
        <w:t xml:space="preserve">Planner Agent: sends the question to the LLM and asks it to return 3–4 focused sub-questions as JSON</w:t>
      </w:r>
    </w:p>
    <w:p>
      <w:pPr>
        <w:pStyle w:val="ListParagraph"/>
        <w:numPr>
          <w:ilvl w:val="0"/>
          <w:numId w:val="1"/>
        </w:numPr>
        <w:spacing w:after="80"/>
      </w:pPr>
      <w:r>
        <w:rPr>
          <w:color w:val="333333"/>
          <w:sz w:val="22"/>
          <w:szCs w:val="22"/>
        </w:rPr>
        <w:t xml:space="preserve">Researcher Agent: for each sub-question, performs an independent Tavily search (3 results each)</w:t>
      </w:r>
    </w:p>
    <w:p>
      <w:pPr>
        <w:pStyle w:val="ListParagraph"/>
        <w:numPr>
          <w:ilvl w:val="0"/>
          <w:numId w:val="1"/>
        </w:numPr>
        <w:spacing w:after="80"/>
      </w:pPr>
      <w:r>
        <w:rPr>
          <w:color w:val="333333"/>
          <w:sz w:val="22"/>
          <w:szCs w:val="22"/>
        </w:rPr>
        <w:t xml:space="preserve">Synthesizer Agent: combines all findings into one structured report with citations</w:t>
      </w:r>
    </w:p>
    <w:p>
      <w:pPr>
        <w:pStyle w:val="ListParagraph"/>
        <w:numPr>
          <w:ilvl w:val="0"/>
          <w:numId w:val="1"/>
        </w:numPr>
        <w:spacing w:after="80"/>
      </w:pPr>
      <w:r>
        <w:rPr>
          <w:color w:val="333333"/>
          <w:sz w:val="22"/>
          <w:szCs w:val="22"/>
        </w:rPr>
        <w:t xml:space="preserve">Returns report, sub-questions used, all sources, and timing</w:t>
      </w:r>
    </w:p>
    <w:p>
      <w:pPr>
        <w:pStyle w:val="Heading2"/>
        <w:spacing w:after="80" w:before="240"/>
      </w:pPr>
      <w:r>
        <w:t xml:space="preserve">2.3 Evaluation (src/evaluate.py)</w:t>
      </w:r>
    </w:p>
    <w:p>
      <w:pPr>
        <w:pStyle w:val="ListParagraph"/>
        <w:numPr>
          <w:ilvl w:val="0"/>
          <w:numId w:val="1"/>
        </w:numPr>
        <w:spacing w:after="80"/>
      </w:pPr>
      <w:r>
        <w:rPr>
          <w:color w:val="333333"/>
          <w:sz w:val="22"/>
          <w:szCs w:val="22"/>
        </w:rPr>
        <w:t xml:space="preserve">Runs both systems on 9 benchmark questions</w:t>
      </w:r>
    </w:p>
    <w:p>
      <w:pPr>
        <w:pStyle w:val="ListParagraph"/>
        <w:numPr>
          <w:ilvl w:val="0"/>
          <w:numId w:val="1"/>
        </w:numPr>
        <w:spacing w:after="80"/>
      </w:pPr>
      <w:r>
        <w:rPr>
          <w:color w:val="333333"/>
          <w:sz w:val="22"/>
          <w:szCs w:val="22"/>
        </w:rPr>
        <w:t xml:space="preserve">Uses the LLM itself as a judge to score each answer on comprehensiveness and clarity (1–10)</w:t>
      </w:r>
    </w:p>
    <w:p>
      <w:pPr>
        <w:pStyle w:val="ListParagraph"/>
        <w:numPr>
          <w:ilvl w:val="0"/>
          <w:numId w:val="1"/>
        </w:numPr>
        <w:spacing w:after="80"/>
      </w:pPr>
      <w:r>
        <w:rPr>
          <w:color w:val="333333"/>
          <w:sz w:val="22"/>
          <w:szCs w:val="22"/>
        </w:rPr>
        <w:t xml:space="preserve">Saves all results to results.json for analysis</w:t>
      </w:r>
    </w:p>
    <w:p>
      <w:pPr>
        <w:pStyle w:val="Heading1"/>
        <w:spacing w:after="120" w:before="320"/>
      </w:pPr>
      <w:r>
        <w:t xml:space="preserve">3.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3B4AFF" w:color="auto" w:val="clear"/>
            <w:tcMar>
              <w:top w:type="dxa" w:w="60"/>
              <w:left w:type="dxa" w:w="100"/>
              <w:bottom w:type="dxa" w:w="60"/>
              <w:right w:type="dxa" w:w="100"/>
            </w:tcMar>
          </w:tcPr>
          <w:p>
            <w:r>
              <w:rPr>
                <w:b/>
                <w:bCs/>
                <w:color w:val="ffffff"/>
                <w:sz w:val="20"/>
                <w:szCs w:val="20"/>
              </w:rPr>
              <w:t xml:space="preserve">Tool</w:t>
            </w:r>
          </w:p>
        </w:tc>
        <w:tc>
          <w:tcPr>
            <w:tcW w:type="pct" w:w="20%"/>
            <w:shd w:fill="3B4AFF" w:color="auto" w:val="clear"/>
            <w:tcMar>
              <w:top w:type="dxa" w:w="60"/>
              <w:left w:type="dxa" w:w="100"/>
              <w:bottom w:type="dxa" w:w="60"/>
              <w:right w:type="dxa" w:w="100"/>
            </w:tcMar>
          </w:tcPr>
          <w:p>
            <w:r>
              <w:rPr>
                <w:b/>
                <w:bCs/>
                <w:color w:val="ffffff"/>
                <w:sz w:val="20"/>
                <w:szCs w:val="20"/>
              </w:rPr>
              <w:t xml:space="preserve">Purpose</w:t>
            </w:r>
          </w:p>
        </w:tc>
        <w:tc>
          <w:tcPr>
            <w:tcW w:type="pct" w:w="20%"/>
            <w:shd w:fill="3B4AFF" w:color="auto" w:val="clear"/>
            <w:tcMar>
              <w:top w:type="dxa" w:w="60"/>
              <w:left w:type="dxa" w:w="100"/>
              <w:bottom w:type="dxa" w:w="60"/>
              <w:right w:type="dxa" w:w="100"/>
            </w:tcMar>
          </w:tcPr>
          <w:p>
            <w:r>
              <w:rPr>
                <w:b/>
                <w:bCs/>
                <w:color w:val="ffffff"/>
                <w:sz w:val="20"/>
                <w:szCs w:val="20"/>
              </w:rPr>
              <w:t xml:space="preserve">Notes</w:t>
            </w:r>
          </w:p>
        </w:tc>
      </w:tr>
      <w:tr>
        <w:tc>
          <w:tcPr>
            <w:tcW w:type="pct" w:w="40%"/>
            <w:tcMar>
              <w:top w:type="dxa" w:w="60"/>
              <w:left w:type="dxa" w:w="100"/>
              <w:bottom w:type="dxa" w:w="60"/>
              <w:right w:type="dxa" w:w="100"/>
            </w:tcMar>
          </w:tcPr>
          <w:p>
            <w:r>
              <w:rPr>
                <w:b w:val="false"/>
                <w:bCs w:val="false"/>
                <w:color w:val="222222"/>
                <w:sz w:val="20"/>
                <w:szCs w:val="20"/>
              </w:rPr>
              <w:t xml:space="preserve">Python 3.14</w:t>
            </w:r>
          </w:p>
        </w:tc>
        <w:tc>
          <w:tcPr>
            <w:tcW w:type="pct" w:w="20%"/>
            <w:tcMar>
              <w:top w:type="dxa" w:w="60"/>
              <w:left w:type="dxa" w:w="100"/>
              <w:bottom w:type="dxa" w:w="60"/>
              <w:right w:type="dxa" w:w="100"/>
            </w:tcMar>
          </w:tcPr>
          <w:p>
            <w:r>
              <w:rPr>
                <w:b w:val="false"/>
                <w:bCs w:val="false"/>
                <w:color w:val="222222"/>
                <w:sz w:val="20"/>
                <w:szCs w:val="20"/>
              </w:rPr>
              <w:t xml:space="preserve">Core language</w:t>
            </w:r>
          </w:p>
        </w:tc>
        <w:tc>
          <w:tcPr>
            <w:tcW w:type="pct" w:w="20%"/>
            <w:tcMar>
              <w:top w:type="dxa" w:w="60"/>
              <w:left w:type="dxa" w:w="100"/>
              <w:bottom w:type="dxa" w:w="60"/>
              <w:right w:type="dxa" w:w="100"/>
            </w:tcMar>
          </w:tcPr>
          <w:p>
            <w:r>
              <w:rPr>
                <w:b w:val="false"/>
                <w:bCs w:val="false"/>
                <w:color w:val="222222"/>
                <w:sz w:val="20"/>
                <w:szCs w:val="20"/>
              </w:rPr>
              <w:t xml:space="preserve">Modular src/ structure</w:t>
            </w:r>
          </w:p>
        </w:tc>
      </w:tr>
      <w:tr>
        <w:tc>
          <w:tcPr>
            <w:tcW w:type="pct" w:w="40%"/>
            <w:tcMar>
              <w:top w:type="dxa" w:w="60"/>
              <w:left w:type="dxa" w:w="100"/>
              <w:bottom w:type="dxa" w:w="60"/>
              <w:right w:type="dxa" w:w="100"/>
            </w:tcMar>
          </w:tcPr>
          <w:p>
            <w:r>
              <w:rPr>
                <w:b w:val="false"/>
                <w:bCs w:val="false"/>
                <w:color w:val="222222"/>
                <w:sz w:val="20"/>
                <w:szCs w:val="20"/>
              </w:rPr>
              <w:t xml:space="preserve">Groq + LLaMA 3</w:t>
            </w:r>
          </w:p>
        </w:tc>
        <w:tc>
          <w:tcPr>
            <w:tcW w:type="pct" w:w="20%"/>
            <w:tcMar>
              <w:top w:type="dxa" w:w="60"/>
              <w:left w:type="dxa" w:w="100"/>
              <w:bottom w:type="dxa" w:w="60"/>
              <w:right w:type="dxa" w:w="100"/>
            </w:tcMar>
          </w:tcPr>
          <w:p>
            <w:r>
              <w:rPr>
                <w:b w:val="false"/>
                <w:bCs w:val="false"/>
                <w:color w:val="222222"/>
                <w:sz w:val="20"/>
                <w:szCs w:val="20"/>
              </w:rPr>
              <w:t xml:space="preserve">LLM inference</w:t>
            </w:r>
          </w:p>
        </w:tc>
        <w:tc>
          <w:tcPr>
            <w:tcW w:type="pct" w:w="20%"/>
            <w:tcMar>
              <w:top w:type="dxa" w:w="60"/>
              <w:left w:type="dxa" w:w="100"/>
              <w:bottom w:type="dxa" w:w="60"/>
              <w:right w:type="dxa" w:w="100"/>
            </w:tcMar>
          </w:tcPr>
          <w:p>
            <w:r>
              <w:rPr>
                <w:b w:val="false"/>
                <w:bCs w:val="false"/>
                <w:color w:val="222222"/>
                <w:sz w:val="20"/>
                <w:szCs w:val="20"/>
              </w:rPr>
              <w:t xml:space="preserve">Fast free-tier API</w:t>
            </w:r>
          </w:p>
        </w:tc>
      </w:tr>
      <w:tr>
        <w:tc>
          <w:tcPr>
            <w:tcW w:type="pct" w:w="40%"/>
            <w:tcMar>
              <w:top w:type="dxa" w:w="60"/>
              <w:left w:type="dxa" w:w="100"/>
              <w:bottom w:type="dxa" w:w="60"/>
              <w:right w:type="dxa" w:w="100"/>
            </w:tcMar>
          </w:tcPr>
          <w:p>
            <w:r>
              <w:rPr>
                <w:b w:val="false"/>
                <w:bCs w:val="false"/>
                <w:color w:val="222222"/>
                <w:sz w:val="20"/>
                <w:szCs w:val="20"/>
              </w:rPr>
              <w:t xml:space="preserve">Tavily Search API</w:t>
            </w:r>
          </w:p>
        </w:tc>
        <w:tc>
          <w:tcPr>
            <w:tcW w:type="pct" w:w="20%"/>
            <w:tcMar>
              <w:top w:type="dxa" w:w="60"/>
              <w:left w:type="dxa" w:w="100"/>
              <w:bottom w:type="dxa" w:w="60"/>
              <w:right w:type="dxa" w:w="100"/>
            </w:tcMar>
          </w:tcPr>
          <w:p>
            <w:r>
              <w:rPr>
                <w:b w:val="false"/>
                <w:bCs w:val="false"/>
                <w:color w:val="222222"/>
                <w:sz w:val="20"/>
                <w:szCs w:val="20"/>
              </w:rPr>
              <w:t xml:space="preserve">Web retrieval</w:t>
            </w:r>
          </w:p>
        </w:tc>
        <w:tc>
          <w:tcPr>
            <w:tcW w:type="pct" w:w="20%"/>
            <w:tcMar>
              <w:top w:type="dxa" w:w="60"/>
              <w:left w:type="dxa" w:w="100"/>
              <w:bottom w:type="dxa" w:w="60"/>
              <w:right w:type="dxa" w:w="100"/>
            </w:tcMar>
          </w:tcPr>
          <w:p>
            <w:r>
              <w:rPr>
                <w:b w:val="false"/>
                <w:bCs w:val="false"/>
                <w:color w:val="222222"/>
                <w:sz w:val="20"/>
                <w:szCs w:val="20"/>
              </w:rPr>
              <w:t xml:space="preserve">Real-time search per agent</w:t>
            </w:r>
          </w:p>
        </w:tc>
      </w:tr>
      <w:tr>
        <w:tc>
          <w:tcPr>
            <w:tcW w:type="pct" w:w="40%"/>
            <w:tcMar>
              <w:top w:type="dxa" w:w="60"/>
              <w:left w:type="dxa" w:w="100"/>
              <w:bottom w:type="dxa" w:w="60"/>
              <w:right w:type="dxa" w:w="100"/>
            </w:tcMar>
          </w:tcPr>
          <w:p>
            <w:r>
              <w:rPr>
                <w:b w:val="false"/>
                <w:bCs w:val="false"/>
                <w:color w:val="222222"/>
                <w:sz w:val="20"/>
                <w:szCs w:val="20"/>
              </w:rPr>
              <w:t xml:space="preserve">Streamlit</w:t>
            </w:r>
          </w:p>
        </w:tc>
        <w:tc>
          <w:tcPr>
            <w:tcW w:type="pct" w:w="20%"/>
            <w:tcMar>
              <w:top w:type="dxa" w:w="60"/>
              <w:left w:type="dxa" w:w="100"/>
              <w:bottom w:type="dxa" w:w="60"/>
              <w:right w:type="dxa" w:w="100"/>
            </w:tcMar>
          </w:tcPr>
          <w:p>
            <w:r>
              <w:rPr>
                <w:b w:val="false"/>
                <w:bCs w:val="false"/>
                <w:color w:val="222222"/>
                <w:sz w:val="20"/>
                <w:szCs w:val="20"/>
              </w:rPr>
              <w:t xml:space="preserve">Demo UI</w:t>
            </w:r>
          </w:p>
        </w:tc>
        <w:tc>
          <w:tcPr>
            <w:tcW w:type="pct" w:w="20%"/>
            <w:tcMar>
              <w:top w:type="dxa" w:w="60"/>
              <w:left w:type="dxa" w:w="100"/>
              <w:bottom w:type="dxa" w:w="60"/>
              <w:right w:type="dxa" w:w="100"/>
            </w:tcMar>
          </w:tcPr>
          <w:p>
            <w:r>
              <w:rPr>
                <w:b w:val="false"/>
                <w:bCs w:val="false"/>
                <w:color w:val="222222"/>
                <w:sz w:val="20"/>
                <w:szCs w:val="20"/>
              </w:rPr>
              <w:t xml:space="preserve">Side-by-side live comparison</w:t>
            </w:r>
          </w:p>
        </w:tc>
      </w:tr>
      <w:tr>
        <w:tc>
          <w:tcPr>
            <w:tcW w:type="pct" w:w="40%"/>
            <w:tcMar>
              <w:top w:type="dxa" w:w="60"/>
              <w:left w:type="dxa" w:w="100"/>
              <w:bottom w:type="dxa" w:w="60"/>
              <w:right w:type="dxa" w:w="100"/>
            </w:tcMar>
          </w:tcPr>
          <w:p>
            <w:r>
              <w:rPr>
                <w:b w:val="false"/>
                <w:bCs w:val="false"/>
                <w:color w:val="222222"/>
                <w:sz w:val="20"/>
                <w:szCs w:val="20"/>
              </w:rPr>
              <w:t xml:space="preserve">python-dotenv</w:t>
            </w:r>
          </w:p>
        </w:tc>
        <w:tc>
          <w:tcPr>
            <w:tcW w:type="pct" w:w="20%"/>
            <w:tcMar>
              <w:top w:type="dxa" w:w="60"/>
              <w:left w:type="dxa" w:w="100"/>
              <w:bottom w:type="dxa" w:w="60"/>
              <w:right w:type="dxa" w:w="100"/>
            </w:tcMar>
          </w:tcPr>
          <w:p>
            <w:r>
              <w:rPr>
                <w:b w:val="false"/>
                <w:bCs w:val="false"/>
                <w:color w:val="222222"/>
                <w:sz w:val="20"/>
                <w:szCs w:val="20"/>
              </w:rPr>
              <w:t xml:space="preserve">Config</w:t>
            </w:r>
          </w:p>
        </w:tc>
        <w:tc>
          <w:tcPr>
            <w:tcW w:type="pct" w:w="20%"/>
            <w:tcMar>
              <w:top w:type="dxa" w:w="60"/>
              <w:left w:type="dxa" w:w="100"/>
              <w:bottom w:type="dxa" w:w="60"/>
              <w:right w:type="dxa" w:w="100"/>
            </w:tcMar>
          </w:tcPr>
          <w:p>
            <w:r>
              <w:rPr>
                <w:b w:val="false"/>
                <w:bCs w:val="false"/>
                <w:color w:val="222222"/>
                <w:sz w:val="20"/>
                <w:szCs w:val="20"/>
              </w:rPr>
              <w:t xml:space="preserve">Secure API key management</w:t>
            </w:r>
          </w:p>
        </w:tc>
      </w:tr>
    </w:tbl>
    <w:p>
      <w:pPr>
        <w:spacing w:after="200"/>
      </w:pPr>
    </w:p>
    <w:p>
      <w:pPr>
        <w:pStyle w:val="Heading1"/>
        <w:spacing w:after="120" w:before="320"/>
      </w:pPr>
      <w:r>
        <w:t xml:space="preserve">4. Benchmark Results</w:t>
      </w:r>
    </w:p>
    <w:p>
      <w:pPr>
        <w:spacing w:after="120"/>
      </w:pPr>
      <w:r>
        <w:rPr>
          <w:color w:val="222222"/>
          <w:sz w:val="22"/>
          <w:szCs w:val="22"/>
        </w:rPr>
        <w:t xml:space="preserve">Evaluated across 9 questions spanning technical comparisons, business decisions, and career advice.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3B4AFF" w:color="auto" w:val="clear"/>
            <w:tcMar>
              <w:top w:type="dxa" w:w="60"/>
              <w:left w:type="dxa" w:w="100"/>
              <w:bottom w:type="dxa" w:w="60"/>
              <w:right w:type="dxa" w:w="100"/>
            </w:tcMar>
          </w:tcPr>
          <w:p>
            <w:r>
              <w:rPr>
                <w:b/>
                <w:bCs/>
                <w:color w:val="ffffff"/>
                <w:sz w:val="20"/>
                <w:szCs w:val="20"/>
              </w:rPr>
              <w:t xml:space="preserve">Metric</w:t>
            </w:r>
          </w:p>
        </w:tc>
        <w:tc>
          <w:tcPr>
            <w:tcW w:type="pct" w:w="20%"/>
            <w:shd w:fill="3B4AFF" w:color="auto" w:val="clear"/>
            <w:tcMar>
              <w:top w:type="dxa" w:w="60"/>
              <w:left w:type="dxa" w:w="100"/>
              <w:bottom w:type="dxa" w:w="60"/>
              <w:right w:type="dxa" w:w="100"/>
            </w:tcMar>
          </w:tcPr>
          <w:p>
            <w:r>
              <w:rPr>
                <w:b/>
                <w:bCs/>
                <w:color w:val="ffffff"/>
                <w:sz w:val="20"/>
                <w:szCs w:val="20"/>
              </w:rPr>
              <w:t xml:space="preserve">Baseline</w:t>
            </w:r>
          </w:p>
        </w:tc>
        <w:tc>
          <w:tcPr>
            <w:tcW w:type="pct" w:w="20%"/>
            <w:shd w:fill="3B4AFF" w:color="auto" w:val="clear"/>
            <w:tcMar>
              <w:top w:type="dxa" w:w="60"/>
              <w:left w:type="dxa" w:w="100"/>
              <w:bottom w:type="dxa" w:w="60"/>
              <w:right w:type="dxa" w:w="100"/>
            </w:tcMar>
          </w:tcPr>
          <w:p>
            <w:r>
              <w:rPr>
                <w:b/>
                <w:bCs/>
                <w:color w:val="ffffff"/>
                <w:sz w:val="20"/>
                <w:szCs w:val="20"/>
              </w:rPr>
              <w:t xml:space="preserve">Multi-Agent</w:t>
            </w:r>
          </w:p>
        </w:tc>
        <w:tc>
          <w:tcPr>
            <w:tcW w:type="pct" w:w="20%"/>
            <w:shd w:fill="3B4AFF" w:color="auto" w:val="clear"/>
            <w:tcMar>
              <w:top w:type="dxa" w:w="60"/>
              <w:left w:type="dxa" w:w="100"/>
              <w:bottom w:type="dxa" w:w="60"/>
              <w:right w:type="dxa" w:w="100"/>
            </w:tcMar>
          </w:tcPr>
          <w:p>
            <w:r>
              <w:rPr>
                <w:b/>
                <w:bCs/>
                <w:color w:val="ffffff"/>
                <w:sz w:val="20"/>
                <w:szCs w:val="20"/>
              </w:rPr>
              <w:t xml:space="preserve">Delta</w:t>
            </w:r>
          </w:p>
        </w:tc>
      </w:tr>
      <w:tr>
        <w:tc>
          <w:tcPr>
            <w:tcW w:type="pct" w:w="40%"/>
            <w:tcMar>
              <w:top w:type="dxa" w:w="60"/>
              <w:left w:type="dxa" w:w="100"/>
              <w:bottom w:type="dxa" w:w="60"/>
              <w:right w:type="dxa" w:w="100"/>
            </w:tcMar>
          </w:tcPr>
          <w:p>
            <w:r>
              <w:rPr>
                <w:b w:val="false"/>
                <w:bCs w:val="false"/>
                <w:color w:val="222222"/>
                <w:sz w:val="20"/>
                <w:szCs w:val="20"/>
              </w:rPr>
              <w:t xml:space="preserve">Avg sources used</w:t>
            </w:r>
          </w:p>
        </w:tc>
        <w:tc>
          <w:tcPr>
            <w:tcW w:type="pct" w:w="20%"/>
            <w:tcMar>
              <w:top w:type="dxa" w:w="60"/>
              <w:left w:type="dxa" w:w="100"/>
              <w:bottom w:type="dxa" w:w="60"/>
              <w:right w:type="dxa" w:w="100"/>
            </w:tcMar>
          </w:tcPr>
          <w:p>
            <w:r>
              <w:rPr>
                <w:b w:val="false"/>
                <w:bCs w:val="false"/>
                <w:color w:val="222222"/>
                <w:sz w:val="20"/>
                <w:szCs w:val="20"/>
              </w:rPr>
              <w:t xml:space="preserve">5.0</w:t>
            </w:r>
          </w:p>
        </w:tc>
        <w:tc>
          <w:tcPr>
            <w:tcW w:type="pct" w:w="20%"/>
            <w:tcMar>
              <w:top w:type="dxa" w:w="60"/>
              <w:left w:type="dxa" w:w="100"/>
              <w:bottom w:type="dxa" w:w="60"/>
              <w:right w:type="dxa" w:w="100"/>
            </w:tcMar>
          </w:tcPr>
          <w:p>
            <w:r>
              <w:rPr>
                <w:b w:val="false"/>
                <w:bCs w:val="false"/>
                <w:color w:val="222222"/>
                <w:sz w:val="20"/>
                <w:szCs w:val="20"/>
              </w:rPr>
              <w:t xml:space="preserve">12.0</w:t>
            </w:r>
          </w:p>
        </w:tc>
        <w:tc>
          <w:tcPr>
            <w:tcW w:type="pct" w:w="20%"/>
            <w:tcMar>
              <w:top w:type="dxa" w:w="60"/>
              <w:left w:type="dxa" w:w="100"/>
              <w:bottom w:type="dxa" w:w="60"/>
              <w:right w:type="dxa" w:w="100"/>
            </w:tcMar>
          </w:tcPr>
          <w:p>
            <w:r>
              <w:rPr>
                <w:b w:val="false"/>
                <w:bCs w:val="false"/>
                <w:color w:val="222222"/>
                <w:sz w:val="20"/>
                <w:szCs w:val="20"/>
              </w:rPr>
              <w:t xml:space="preserve">+140%</w:t>
            </w:r>
          </w:p>
        </w:tc>
      </w:tr>
      <w:tr>
        <w:tc>
          <w:tcPr>
            <w:tcW w:type="pct" w:w="40%"/>
            <w:tcMar>
              <w:top w:type="dxa" w:w="60"/>
              <w:left w:type="dxa" w:w="100"/>
              <w:bottom w:type="dxa" w:w="60"/>
              <w:right w:type="dxa" w:w="100"/>
            </w:tcMar>
          </w:tcPr>
          <w:p>
            <w:r>
              <w:rPr>
                <w:b w:val="false"/>
                <w:bCs w:val="false"/>
                <w:color w:val="222222"/>
                <w:sz w:val="20"/>
                <w:szCs w:val="20"/>
              </w:rPr>
              <w:t xml:space="preserve">Comprehensiveness (/10)</w:t>
            </w:r>
          </w:p>
        </w:tc>
        <w:tc>
          <w:tcPr>
            <w:tcW w:type="pct" w:w="20%"/>
            <w:tcMar>
              <w:top w:type="dxa" w:w="60"/>
              <w:left w:type="dxa" w:w="100"/>
              <w:bottom w:type="dxa" w:w="60"/>
              <w:right w:type="dxa" w:w="100"/>
            </w:tcMar>
          </w:tcPr>
          <w:p>
            <w:r>
              <w:rPr>
                <w:b w:val="false"/>
                <w:bCs w:val="false"/>
                <w:color w:val="222222"/>
                <w:sz w:val="20"/>
                <w:szCs w:val="20"/>
              </w:rPr>
              <w:t xml:space="preserve">8.0</w:t>
            </w:r>
          </w:p>
        </w:tc>
        <w:tc>
          <w:tcPr>
            <w:tcW w:type="pct" w:w="20%"/>
            <w:tcMar>
              <w:top w:type="dxa" w:w="60"/>
              <w:left w:type="dxa" w:w="100"/>
              <w:bottom w:type="dxa" w:w="60"/>
              <w:right w:type="dxa" w:w="100"/>
            </w:tcMar>
          </w:tcPr>
          <w:p>
            <w:r>
              <w:rPr>
                <w:b w:val="false"/>
                <w:bCs w:val="false"/>
                <w:color w:val="222222"/>
                <w:sz w:val="20"/>
                <w:szCs w:val="20"/>
              </w:rPr>
              <w:t xml:space="preserve">8.44</w:t>
            </w:r>
          </w:p>
        </w:tc>
        <w:tc>
          <w:tcPr>
            <w:tcW w:type="pct" w:w="20%"/>
            <w:tcMar>
              <w:top w:type="dxa" w:w="60"/>
              <w:left w:type="dxa" w:w="100"/>
              <w:bottom w:type="dxa" w:w="60"/>
              <w:right w:type="dxa" w:w="100"/>
            </w:tcMar>
          </w:tcPr>
          <w:p>
            <w:r>
              <w:rPr>
                <w:b w:val="false"/>
                <w:bCs w:val="false"/>
                <w:color w:val="222222"/>
                <w:sz w:val="20"/>
                <w:szCs w:val="20"/>
              </w:rPr>
              <w:t xml:space="preserve">+0.44</w:t>
            </w:r>
          </w:p>
        </w:tc>
      </w:tr>
      <w:tr>
        <w:tc>
          <w:tcPr>
            <w:tcW w:type="pct" w:w="40%"/>
            <w:tcMar>
              <w:top w:type="dxa" w:w="60"/>
              <w:left w:type="dxa" w:w="100"/>
              <w:bottom w:type="dxa" w:w="60"/>
              <w:right w:type="dxa" w:w="100"/>
            </w:tcMar>
          </w:tcPr>
          <w:p>
            <w:r>
              <w:rPr>
                <w:b w:val="false"/>
                <w:bCs w:val="false"/>
                <w:color w:val="222222"/>
                <w:sz w:val="20"/>
                <w:szCs w:val="20"/>
              </w:rPr>
              <w:t xml:space="preserve">Clarity (/10)</w:t>
            </w:r>
          </w:p>
        </w:tc>
        <w:tc>
          <w:tcPr>
            <w:tcW w:type="pct" w:w="20%"/>
            <w:tcMar>
              <w:top w:type="dxa" w:w="60"/>
              <w:left w:type="dxa" w:w="100"/>
              <w:bottom w:type="dxa" w:w="60"/>
              <w:right w:type="dxa" w:w="100"/>
            </w:tcMar>
          </w:tcPr>
          <w:p>
            <w:r>
              <w:rPr>
                <w:b w:val="false"/>
                <w:bCs w:val="false"/>
                <w:color w:val="222222"/>
                <w:sz w:val="20"/>
                <w:szCs w:val="20"/>
              </w:rPr>
              <w:t xml:space="preserve">8.44</w:t>
            </w:r>
          </w:p>
        </w:tc>
        <w:tc>
          <w:tcPr>
            <w:tcW w:type="pct" w:w="20%"/>
            <w:tcMar>
              <w:top w:type="dxa" w:w="60"/>
              <w:left w:type="dxa" w:w="100"/>
              <w:bottom w:type="dxa" w:w="60"/>
              <w:right w:type="dxa" w:w="100"/>
            </w:tcMar>
          </w:tcPr>
          <w:p>
            <w:r>
              <w:rPr>
                <w:b w:val="false"/>
                <w:bCs w:val="false"/>
                <w:color w:val="222222"/>
                <w:sz w:val="20"/>
                <w:szCs w:val="20"/>
              </w:rPr>
              <w:t xml:space="preserve">8.67</w:t>
            </w:r>
          </w:p>
        </w:tc>
        <w:tc>
          <w:tcPr>
            <w:tcW w:type="pct" w:w="20%"/>
            <w:tcMar>
              <w:top w:type="dxa" w:w="60"/>
              <w:left w:type="dxa" w:w="100"/>
              <w:bottom w:type="dxa" w:w="60"/>
              <w:right w:type="dxa" w:w="100"/>
            </w:tcMar>
          </w:tcPr>
          <w:p>
            <w:r>
              <w:rPr>
                <w:b w:val="false"/>
                <w:bCs w:val="false"/>
                <w:color w:val="222222"/>
                <w:sz w:val="20"/>
                <w:szCs w:val="20"/>
              </w:rPr>
              <w:t xml:space="preserve">+0.23</w:t>
            </w:r>
          </w:p>
        </w:tc>
      </w:tr>
      <w:tr>
        <w:tc>
          <w:tcPr>
            <w:tcW w:type="pct" w:w="40%"/>
            <w:tcMar>
              <w:top w:type="dxa" w:w="60"/>
              <w:left w:type="dxa" w:w="100"/>
              <w:bottom w:type="dxa" w:w="60"/>
              <w:right w:type="dxa" w:w="100"/>
            </w:tcMar>
          </w:tcPr>
          <w:p>
            <w:r>
              <w:rPr>
                <w:b w:val="false"/>
                <w:bCs w:val="false"/>
                <w:color w:val="222222"/>
                <w:sz w:val="20"/>
                <w:szCs w:val="20"/>
              </w:rPr>
              <w:t xml:space="preserve">Avg response time</w:t>
            </w:r>
          </w:p>
        </w:tc>
        <w:tc>
          <w:tcPr>
            <w:tcW w:type="pct" w:w="20%"/>
            <w:tcMar>
              <w:top w:type="dxa" w:w="60"/>
              <w:left w:type="dxa" w:w="100"/>
              <w:bottom w:type="dxa" w:w="60"/>
              <w:right w:type="dxa" w:w="100"/>
            </w:tcMar>
          </w:tcPr>
          <w:p>
            <w:r>
              <w:rPr>
                <w:b w:val="false"/>
                <w:bCs w:val="false"/>
                <w:color w:val="222222"/>
                <w:sz w:val="20"/>
                <w:szCs w:val="20"/>
              </w:rPr>
              <w:t xml:space="preserve">10.86s</w:t>
            </w:r>
          </w:p>
        </w:tc>
        <w:tc>
          <w:tcPr>
            <w:tcW w:type="pct" w:w="20%"/>
            <w:tcMar>
              <w:top w:type="dxa" w:w="60"/>
              <w:left w:type="dxa" w:w="100"/>
              <w:bottom w:type="dxa" w:w="60"/>
              <w:right w:type="dxa" w:w="100"/>
            </w:tcMar>
          </w:tcPr>
          <w:p>
            <w:r>
              <w:rPr>
                <w:b w:val="false"/>
                <w:bCs w:val="false"/>
                <w:color w:val="222222"/>
                <w:sz w:val="20"/>
                <w:szCs w:val="20"/>
              </w:rPr>
              <w:t xml:space="preserve">32.96s</w:t>
            </w:r>
          </w:p>
        </w:tc>
        <w:tc>
          <w:tcPr>
            <w:tcW w:type="pct" w:w="20%"/>
            <w:tcMar>
              <w:top w:type="dxa" w:w="60"/>
              <w:left w:type="dxa" w:w="100"/>
              <w:bottom w:type="dxa" w:w="60"/>
              <w:right w:type="dxa" w:w="100"/>
            </w:tcMar>
          </w:tcPr>
          <w:p>
            <w:r>
              <w:rPr>
                <w:b w:val="false"/>
                <w:bCs w:val="false"/>
                <w:color w:val="222222"/>
                <w:sz w:val="20"/>
                <w:szCs w:val="20"/>
              </w:rPr>
              <w:t xml:space="preserve">3× slower</w:t>
            </w:r>
          </w:p>
        </w:tc>
      </w:tr>
    </w:tbl>
    <w:p>
      <w:pPr>
        <w:spacing w:after="160"/>
      </w:pPr>
    </w:p>
    <w:p>
      <w:pPr>
        <w:spacing w:after="120"/>
      </w:pPr>
      <w:r>
        <w:rPr>
          <w:color w:val="222222"/>
          <w:sz w:val="22"/>
          <w:szCs w:val="22"/>
        </w:rPr>
        <w:t xml:space="preserve">Key conclusion: multi-agent decomposition dramatically improves source coverage (2.4×) with modest quality gains at roughly 3× the latency cost. For simple questions, the baseline is sufficient. For genuinely complex, multi-faceted research, the multi-agent approach justifies the overhead.</w:t>
      </w:r>
    </w:p>
    <w:p>
      <w:r>
        <w:br w:type="page"/>
      </w:r>
    </w:p>
    <w:p>
      <w:pPr>
        <w:pStyle w:val="Heading1"/>
        <w:spacing w:after="120" w:before="320"/>
      </w:pPr>
      <w:r>
        <w:t xml:space="preserve">5. Interview Questions &amp; Suggested Answers</w:t>
      </w:r>
    </w:p>
    <w:p>
      <w:pPr>
        <w:pBdr>
          <w:left w:val="single" w:color="3B4AFF" w:sz="20"/>
        </w:pBdr>
        <w:spacing w:after="80" w:before="200"/>
        <w:ind w:left="200"/>
      </w:pPr>
      <w:r>
        <w:rPr>
          <w:b/>
          <w:bCs/>
          <w:color w:val="3B4AFF"/>
          <w:sz w:val="23"/>
          <w:szCs w:val="23"/>
        </w:rPr>
        <w:t xml:space="preserve">Q1. Why did you choose a multi-agent approach over a single LLM call?</w:t>
      </w:r>
    </w:p>
    <w:p>
      <w:pPr>
        <w:spacing w:after="160"/>
        <w:ind w:left="200"/>
      </w:pPr>
      <w:r>
        <w:rPr>
          <w:color w:val="444444"/>
          <w:sz w:val="21"/>
          <w:szCs w:val="21"/>
        </w:rPr>
        <w:t xml:space="preserve">A single LLM call is limited by what fits in one search query — it can only capture one angle of a complex question. I hypothesized that decomposing the question into sub-questions and searching each independently would surface more diverse, relevant sources. The benchmark confirmed this: multi-agent pulled 2.4× more sources on average. The tradeoff is latency, which I also measured honestly.</w:t>
      </w:r>
    </w:p>
    <w:p>
      <w:pPr>
        <w:pBdr>
          <w:left w:val="single" w:color="3B4AFF" w:sz="20"/>
        </w:pBdr>
        <w:spacing w:after="80" w:before="200"/>
        <w:ind w:left="200"/>
      </w:pPr>
      <w:r>
        <w:rPr>
          <w:b/>
          <w:bCs/>
          <w:color w:val="3B4AFF"/>
          <w:sz w:val="23"/>
          <w:szCs w:val="23"/>
        </w:rPr>
        <w:t xml:space="preserve">Q2. How did you evaluate and compare the two systems?</w:t>
      </w:r>
    </w:p>
    <w:p>
      <w:pPr>
        <w:spacing w:after="160"/>
        <w:ind w:left="200"/>
      </w:pPr>
      <w:r>
        <w:rPr>
          <w:color w:val="444444"/>
          <w:sz w:val="21"/>
          <w:szCs w:val="21"/>
        </w:rPr>
        <w:t xml:space="preserve">I built an evaluation harness (evaluate.py) that runs both systems on 9 benchmark questions covering technical, business, and career domains. For each answer, I used the LLM itself as a judge — a technique called LLM-as-judge — to score comprehensiveness and clarity on a 1–10 scale. I also tracked source count and wall-clock time. Everything was saved to results.json for analysis.</w:t>
      </w:r>
    </w:p>
    <w:p>
      <w:pPr>
        <w:pBdr>
          <w:left w:val="single" w:color="3B4AFF" w:sz="20"/>
        </w:pBdr>
        <w:spacing w:after="80" w:before="200"/>
        <w:ind w:left="200"/>
      </w:pPr>
      <w:r>
        <w:rPr>
          <w:b/>
          <w:bCs/>
          <w:color w:val="3B4AFF"/>
          <w:sz w:val="23"/>
          <w:szCs w:val="23"/>
        </w:rPr>
        <w:t xml:space="preserve">Q3. What does "LLM-as-judge" mean and is it reliable?</w:t>
      </w:r>
    </w:p>
    <w:p>
      <w:pPr>
        <w:spacing w:after="160"/>
        <w:ind w:left="200"/>
      </w:pPr>
      <w:r>
        <w:rPr>
          <w:color w:val="444444"/>
          <w:sz w:val="21"/>
          <w:szCs w:val="21"/>
        </w:rPr>
        <w:t xml:space="preserve">LLM-as-judge means using the language model to score the quality of another model's output, rather than relying on human annotation. It's faster and scalable, but has known biases — models tend to favor longer answers and their own outputs. I used it here as a directional signal, not a ground truth. For a more rigorous evaluation, human annotation or reference-based metrics (like ROUGE) would be needed.</w:t>
      </w:r>
    </w:p>
    <w:p>
      <w:pPr>
        <w:pBdr>
          <w:left w:val="single" w:color="3B4AFF" w:sz="20"/>
        </w:pBdr>
        <w:spacing w:after="80" w:before="200"/>
        <w:ind w:left="200"/>
      </w:pPr>
      <w:r>
        <w:rPr>
          <w:b/>
          <w:bCs/>
          <w:color w:val="3B4AFF"/>
          <w:sz w:val="23"/>
          <w:szCs w:val="23"/>
        </w:rPr>
        <w:t xml:space="preserve">Q4. What would you improve if you had more time?</w:t>
      </w:r>
    </w:p>
    <w:p>
      <w:pPr>
        <w:spacing w:after="160"/>
        <w:ind w:left="200"/>
      </w:pPr>
      <w:r>
        <w:rPr>
          <w:color w:val="444444"/>
          <w:sz w:val="21"/>
          <w:szCs w:val="21"/>
        </w:rPr>
        <w:t xml:space="preserve">Three things: (1) Parallel researcher calls — currently the researcher runs sub-questions sequentially, so adding async would cut the 33s latency significantly. (2) A more rigorous evaluation — human-annotated ground truth answers for the benchmark questions. (3) Smarter planning — the planner agent could be given context about which sub-questions are already well-covered before deciding what to search next.</w:t>
      </w:r>
    </w:p>
    <w:p>
      <w:pPr>
        <w:pBdr>
          <w:left w:val="single" w:color="3B4AFF" w:sz="20"/>
        </w:pBdr>
        <w:spacing w:after="80" w:before="200"/>
        <w:ind w:left="200"/>
      </w:pPr>
      <w:r>
        <w:rPr>
          <w:b/>
          <w:bCs/>
          <w:color w:val="3B4AFF"/>
          <w:sz w:val="23"/>
          <w:szCs w:val="23"/>
        </w:rPr>
        <w:t xml:space="preserve">Q5. How does this relate to data engineering or data science work?</w:t>
      </w:r>
    </w:p>
    <w:p>
      <w:pPr>
        <w:spacing w:after="160"/>
        <w:ind w:left="200"/>
      </w:pPr>
      <w:r>
        <w:rPr>
          <w:color w:val="444444"/>
          <w:sz w:val="21"/>
          <w:szCs w:val="21"/>
        </w:rPr>
        <w:t xml:space="preserve">The core skills are directly transferable: building modular data pipelines (baseline → multi-agent → evaluation), designing experiments with clear metrics, integrating external APIs, and drawing honest, data-backed conclusions. The evaluation harness is essentially an ETL pipeline that collects, scores, and stores structured results. Agentic systems are also increasingly used in data engineering for automated data discovery, schema inference, and pipeline monitoring.</w:t>
      </w:r>
    </w:p>
    <w:p>
      <w:pPr>
        <w:pBdr>
          <w:left w:val="single" w:color="3B4AFF" w:sz="20"/>
        </w:pBdr>
        <w:spacing w:after="80" w:before="200"/>
        <w:ind w:left="200"/>
      </w:pPr>
      <w:r>
        <w:rPr>
          <w:b/>
          <w:bCs/>
          <w:color w:val="3B4AFF"/>
          <w:sz w:val="23"/>
          <w:szCs w:val="23"/>
        </w:rPr>
        <w:t xml:space="preserve">Q6. Why does the quality improvement seem small despite 2.4× more sources?</w:t>
      </w:r>
    </w:p>
    <w:p>
      <w:pPr>
        <w:spacing w:after="160"/>
        <w:ind w:left="200"/>
      </w:pPr>
      <w:r>
        <w:rPr>
          <w:color w:val="444444"/>
          <w:sz w:val="21"/>
          <w:szCs w:val="21"/>
        </w:rPr>
        <w:t xml:space="preserve">This is the most interesting finding. The LLM-as-judge scores (comprehensiveness, clarity) only improved modestly because the benchmark questions were moderately complex — the baseline's 5 sources were often sufficient to answer them adequately. I'd expect a larger quality gap on genuinely multi-faceted questions, like "compare the healthcare systems of five countries" where the baseline literally cannot fit all angles into one search.</w:t>
      </w:r>
    </w:p>
    <w:p>
      <w:pPr>
        <w:pBdr>
          <w:left w:val="single" w:color="3B4AFF" w:sz="20"/>
        </w:pBdr>
        <w:spacing w:after="80" w:before="200"/>
        <w:ind w:left="200"/>
      </w:pPr>
      <w:r>
        <w:rPr>
          <w:b/>
          <w:bCs/>
          <w:color w:val="3B4AFF"/>
          <w:sz w:val="23"/>
          <w:szCs w:val="23"/>
        </w:rPr>
        <w:t xml:space="preserve">Q7. How did you handle API key security?</w:t>
      </w:r>
    </w:p>
    <w:p>
      <w:pPr>
        <w:spacing w:after="160"/>
        <w:ind w:left="200"/>
      </w:pPr>
      <w:r>
        <w:rPr>
          <w:color w:val="444444"/>
          <w:sz w:val="21"/>
          <w:szCs w:val="21"/>
        </w:rPr>
        <w:t xml:space="preserve">API keys are stored in a .env file which is excluded from version control via .gitignore. The python-dotenv library loads them at runtime. This means keys are never committed to GitHub, and anyone cloning the repo must supply their own keys — which is the standard practice for public projects.</w:t>
      </w:r>
    </w:p>
    <w:p>
      <w:pPr>
        <w:pBdr>
          <w:left w:val="single" w:color="3B4AFF" w:sz="20"/>
        </w:pBdr>
        <w:spacing w:after="80" w:before="200"/>
        <w:ind w:left="200"/>
      </w:pPr>
      <w:r>
        <w:rPr>
          <w:b/>
          <w:bCs/>
          <w:color w:val="3B4AFF"/>
          <w:sz w:val="23"/>
          <w:szCs w:val="23"/>
        </w:rPr>
        <w:t xml:space="preserve">Q8. What is the Streamlit app for?</w:t>
      </w:r>
    </w:p>
    <w:p>
      <w:pPr>
        <w:spacing w:after="160"/>
        <w:ind w:left="200"/>
      </w:pPr>
      <w:r>
        <w:rPr>
          <w:color w:val="444444"/>
          <w:sz w:val="21"/>
          <w:szCs w:val="21"/>
        </w:rPr>
        <w:t xml:space="preserve">It's a live demo that lets anyone type a research question and see both systems run side by side in real time — with source counts, response times, the sub-questions the planner generated, and the full reports. It makes the architectural difference tangible: you can literally watch the multi-agent system take longer but produce a more thorough breakdown.</w:t>
      </w:r>
    </w:p>
    <w:p>
      <w:r>
        <w:br w:type="page"/>
      </w:r>
    </w:p>
    <w:p>
      <w:pPr>
        <w:pStyle w:val="Heading1"/>
        <w:spacing w:after="120" w:before="320"/>
      </w:pPr>
      <w:r>
        <w:t xml:space="preserve">6. Skills Demonstrated</w:t>
      </w:r>
    </w:p>
    <w:p>
      <w:pPr>
        <w:pStyle w:val="ListParagraph"/>
        <w:numPr>
          <w:ilvl w:val="0"/>
          <w:numId w:val="1"/>
        </w:numPr>
        <w:spacing w:after="80"/>
      </w:pPr>
      <w:r>
        <w:rPr>
          <w:color w:val="333333"/>
          <w:sz w:val="22"/>
          <w:szCs w:val="22"/>
        </w:rPr>
        <w:t xml:space="preserve">Agentic system design — decomposing tasks into specialized agents (planner, researcher, synthesizer)</w:t>
      </w:r>
    </w:p>
    <w:p>
      <w:pPr>
        <w:pStyle w:val="ListParagraph"/>
        <w:numPr>
          <w:ilvl w:val="0"/>
          <w:numId w:val="1"/>
        </w:numPr>
        <w:spacing w:after="80"/>
      </w:pPr>
      <w:r>
        <w:rPr>
          <w:color w:val="333333"/>
          <w:sz w:val="22"/>
          <w:szCs w:val="22"/>
        </w:rPr>
        <w:t xml:space="preserve">LLM integration — Groq API with LLaMA 3, prompt engineering for structured JSON outputs</w:t>
      </w:r>
    </w:p>
    <w:p>
      <w:pPr>
        <w:pStyle w:val="ListParagraph"/>
        <w:numPr>
          <w:ilvl w:val="0"/>
          <w:numId w:val="1"/>
        </w:numPr>
        <w:spacing w:after="80"/>
      </w:pPr>
      <w:r>
        <w:rPr>
          <w:color w:val="333333"/>
          <w:sz w:val="22"/>
          <w:szCs w:val="22"/>
        </w:rPr>
        <w:t xml:space="preserve">Evaluation methodology — LLM-as-judge scoring, quantitative benchmarking</w:t>
      </w:r>
    </w:p>
    <w:p>
      <w:pPr>
        <w:pStyle w:val="ListParagraph"/>
        <w:numPr>
          <w:ilvl w:val="0"/>
          <w:numId w:val="1"/>
        </w:numPr>
        <w:spacing w:after="80"/>
      </w:pPr>
      <w:r>
        <w:rPr>
          <w:color w:val="333333"/>
          <w:sz w:val="22"/>
          <w:szCs w:val="22"/>
        </w:rPr>
        <w:t xml:space="preserve">API integration — Tavily Search for real-time web retrieval</w:t>
      </w:r>
    </w:p>
    <w:p>
      <w:pPr>
        <w:pStyle w:val="ListParagraph"/>
        <w:numPr>
          <w:ilvl w:val="0"/>
          <w:numId w:val="1"/>
        </w:numPr>
        <w:spacing w:after="80"/>
      </w:pPr>
      <w:r>
        <w:rPr>
          <w:color w:val="333333"/>
          <w:sz w:val="22"/>
          <w:szCs w:val="22"/>
        </w:rPr>
        <w:t xml:space="preserve">Python engineering — modular code, environment management, JSON state persistence</w:t>
      </w:r>
    </w:p>
    <w:p>
      <w:pPr>
        <w:pStyle w:val="ListParagraph"/>
        <w:numPr>
          <w:ilvl w:val="0"/>
          <w:numId w:val="1"/>
        </w:numPr>
        <w:spacing w:after="80"/>
      </w:pPr>
      <w:r>
        <w:rPr>
          <w:color w:val="333333"/>
          <w:sz w:val="22"/>
          <w:szCs w:val="22"/>
        </w:rPr>
        <w:t xml:space="preserve">Data pipeline thinking — end-to-end flow from raw search results to structured scored output</w:t>
      </w:r>
    </w:p>
    <w:p>
      <w:pPr>
        <w:pStyle w:val="ListParagraph"/>
        <w:numPr>
          <w:ilvl w:val="0"/>
          <w:numId w:val="1"/>
        </w:numPr>
        <w:spacing w:after="80"/>
      </w:pPr>
      <w:r>
        <w:rPr>
          <w:color w:val="333333"/>
          <w:sz w:val="22"/>
          <w:szCs w:val="22"/>
        </w:rPr>
        <w:t xml:space="preserve">Honest analysis — results show multi-agent wins on coverage but not always quality/latency tradeoff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rFonts w:ascii="Calibri" w:cs="Calibri" w:eastAsia="Calibri" w:hAnsi="Calibri"/>
      <w:b/>
      <w:bCs/>
      <w:color w:val="3B4AFF"/>
      <w:sz w:val="32"/>
      <w:szCs w:val="32"/>
    </w:rPr>
  </w:style>
  <w:style w:type="paragraph" w:styleId="Heading2">
    <w:name w:val="Heading 2"/>
    <w:pPr>
      <w:spacing w:after="100" w:before="280"/>
    </w:pPr>
    <w:rPr>
      <w:rFonts w:ascii="Calibri" w:cs="Calibri" w:eastAsia="Calibri" w:hAnsi="Calibri"/>
      <w:b/>
      <w:bCs/>
      <w:color w:val="1A1D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2026-09-02T17:50:11.771Z</dcterms:created>
  <dcterms:modified xsi:type="dcterms:W3CDTF">2026-09-02T17:50:11.771Z</dcterms:modified>
</cp:coreProperties>
</file>

<file path=docProps/custom.xml><?xml version="1.0" encoding="utf-8"?>
<Properties xmlns="http://schemas.openxmlformats.org/officeDocument/2006/custom-properties" xmlns:vt="http://schemas.openxmlformats.org/officeDocument/2006/docPropsVTypes"/>
</file>