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PROBLEM STATEMENT FOR CYBER SECURITY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Libre Baskerville" w:cs="Libre Baskerville" w:eastAsia="Libre Baskerville" w:hAnsi="Libre Baskerville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AI-Based Zero Trust Security Architecture for Cloud Computing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intelligent Zero Trust systems capable of continuously verifying users, devices, and applications.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Traditional perimeter security is insufficient for cloud-native environments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Gaps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Dynamic trust evaluation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AI-driven access policies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Continuous authentication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Cloud platforms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Government infrastructure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Banking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Healthcare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Methodology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behavioral analytics, graph learning, reinforcement learning, and identity analytics.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Azure, AWS, Kubernetes, Istio, Open Policy Agent, Python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Outcome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Adaptive AI-enabled Zero Trust framework.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Feasibility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 Cloud Computing, Future Generation Computer Systems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Libre Baskerville" w:cs="Libre Baskerville" w:eastAsia="Libre Baskerville" w:hAnsi="Libre Baskerville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Agentic AI for Autonomous Cyber Threat Detection and Incident Response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autonomous AI agents capable of detecting cyber threats, investigating incidents, performing root cause analysis, and automatically responding to attacks with minimal human intervention.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 Security Operations Centers (SOCs) generate enormous volumes of alerts. Agentic AI can significantly reduce analyst workload through autonomous reasoning and decision-making.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Gaps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Reliable autonomous decision making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Hallucination-free security reasoning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Secure AI agent collaboration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Human-in-the-loop validation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Areas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SOC automation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Enterprise security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Critical infrastructure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Financial cybersecurity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Proposed Methodology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multi-agent AI systems integrating LLMs, SIEM logs, threat intelligence, RAG, and reinforcement learning.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Tools/Resources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Python, LangGraph, CrewAI, AutoGen, Splunk, Elastic SIEM, OpenAI APIs, MITRE ATT&amp;CK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Outcome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Autonomous cyber defense framework capable of intelligent threat investigation.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Feasibility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 for Publication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 Transactions on Dependable and Secure Computing, Computers &amp; Security, IEEE Access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Libre Baskervil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