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Theme="majorHAnsi" w:hAnsiTheme="majorHAnsi" w:eastAsiaTheme="majorEastAsia" w:cstheme="majorBidi"/>
          <w:caps/>
        </w:rPr>
        <w:id w:val="179252445"/>
        <w:docPartObj>
          <w:docPartGallery w:val="autotext"/>
        </w:docPartObj>
      </w:sdtPr>
      <w:sdtEndPr>
        <w:rPr>
          <w:rFonts w:asciiTheme="minorHAnsi" w:hAnsiTheme="minorHAnsi" w:eastAsiaTheme="minorHAnsi" w:cstheme="minorBidi"/>
          <w:caps w:val="0"/>
          <w:lang w:eastAsia="en-US"/>
        </w:rPr>
      </w:sdtEndPr>
      <w:sdtContent>
        <w:tbl>
          <w:tblPr>
            <w:tblStyle w:val="3"/>
            <w:tblW w:w="5000" w:type="pct"/>
            <w:jc w:val="center"/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9576"/>
          </w:tblGrid>
          <w:tr w14:paraId="589872A7">
            <w:tblPrEx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trHeight w:val="2880" w:hRule="atLeast"/>
              <w:jc w:val="center"/>
            </w:trPr>
            <w:sdt>
              <w:sdtPr>
                <w:rPr>
                  <w:rFonts w:asciiTheme="majorHAnsi" w:hAnsiTheme="majorHAnsi" w:eastAsiaTheme="majorEastAsia" w:cstheme="majorBidi"/>
                  <w:caps/>
                </w:rPr>
                <w:alias w:val="Company"/>
                <w:id w:val="15524243"/>
                <w:placeholder>
                  <w:docPart w:val="EB8B2402F813400FADC7CECC087A0B33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asciiTheme="majorHAnsi" w:hAnsiTheme="majorHAnsi" w:eastAsiaTheme="majorEastAsia" w:cstheme="majorBidi"/>
                  <w:caps/>
                </w:rPr>
              </w:sdtEndPr>
              <w:sdtContent>
                <w:tc>
                  <w:tcPr>
                    <w:tcW w:w="5000" w:type="pct"/>
                  </w:tcPr>
                  <w:p w14:paraId="16C2ED0D">
                    <w:pPr>
                      <w:pStyle w:val="6"/>
                      <w:jc w:val="center"/>
                      <w:rPr>
                        <w:rFonts w:asciiTheme="majorHAnsi" w:hAnsiTheme="majorHAnsi" w:eastAsiaTheme="majorEastAsia" w:cstheme="majorBidi"/>
                        <w:caps/>
                      </w:rPr>
                    </w:pPr>
                    <w:r>
                      <w:rPr>
                        <w:rFonts w:asciiTheme="majorHAnsi" w:hAnsiTheme="majorHAnsi" w:eastAsiaTheme="majorEastAsia" w:cstheme="majorBidi"/>
                        <w:caps/>
                        <w:lang w:val="en-US"/>
                      </w:rPr>
                      <w:t>decode labs</w:t>
                    </w:r>
                  </w:p>
                </w:tc>
              </w:sdtContent>
            </w:sdt>
          </w:tr>
          <w:tr w14:paraId="005B10BE">
            <w:tblPrEx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trHeight w:val="1440" w:hRule="atLeast"/>
              <w:jc w:val="center"/>
            </w:trPr>
            <w:sdt>
              <w:sdtPr>
                <w:rPr>
                  <w:rFonts w:ascii="Arial" w:hAnsi="Arial" w:cs="Arial"/>
                  <w:sz w:val="56"/>
                  <w:szCs w:val="48"/>
                </w:rPr>
                <w:alias w:val="Title"/>
                <w:id w:val="15524250"/>
                <w:placeholder>
                  <w:docPart w:val="40C202C83ACA4B8DA6E75F9B08CACAB3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>
                <w:rPr>
                  <w:rFonts w:ascii="Arial" w:hAnsi="Arial" w:cs="Arial"/>
                  <w:sz w:val="56"/>
                  <w:szCs w:val="48"/>
                </w:rPr>
              </w:sdtEndPr>
              <w:sdtContent>
                <w:tc>
                  <w:tcPr>
                    <w:tcW w:w="5000" w:type="pct"/>
                    <w:tcBorders>
                      <w:bottom w:val="single" w:color="4F81BD" w:themeColor="accent1" w:sz="4" w:space="0"/>
                    </w:tcBorders>
                    <w:vAlign w:val="center"/>
                  </w:tcPr>
                  <w:p w14:paraId="4F7D760F">
                    <w:pPr>
                      <w:pStyle w:val="6"/>
                      <w:jc w:val="center"/>
                      <w:rPr>
                        <w:rFonts w:asciiTheme="majorHAnsi" w:hAnsiTheme="majorHAnsi" w:eastAsiaTheme="majorEastAsia" w:cstheme="majorBidi"/>
                        <w:sz w:val="80"/>
                        <w:szCs w:val="80"/>
                      </w:rPr>
                    </w:pPr>
                    <w:r>
                      <w:rPr>
                        <w:rFonts w:ascii="Arial" w:hAnsi="Arial" w:cs="Arial"/>
                        <w:sz w:val="56"/>
                        <w:szCs w:val="48"/>
                        <w:lang w:val="en-US"/>
                      </w:rPr>
                      <w:t>EXPLORATORY DATA ANALYSIS (EDA) AND SCHEME VALIDATION PIPELINE</w:t>
                    </w:r>
                  </w:p>
                </w:tc>
              </w:sdtContent>
            </w:sdt>
          </w:tr>
          <w:tr w14:paraId="2352F92D">
            <w:tblPrEx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trHeight w:val="720" w:hRule="atLeast"/>
              <w:jc w:val="center"/>
            </w:trPr>
            <w:sdt>
              <w:sdtPr>
                <w:rPr>
                  <w:rFonts w:ascii="Arial" w:hAnsi="Arial" w:cs="Arial"/>
                  <w:sz w:val="40"/>
                  <w:szCs w:val="32"/>
                </w:rPr>
                <w:alias w:val="Subtitle"/>
                <w:id w:val="15524255"/>
                <w:placeholder>
                  <w:docPart w:val="251D29BDEC2B46F88DA74AFE973B7CCF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Fonts w:ascii="Arial" w:hAnsi="Arial" w:cs="Arial"/>
                  <w:sz w:val="40"/>
                  <w:szCs w:val="32"/>
                </w:rPr>
              </w:sdtEndPr>
              <w:sdtContent>
                <w:tc>
                  <w:tcPr>
                    <w:tcW w:w="5000" w:type="pct"/>
                    <w:tcBorders>
                      <w:top w:val="single" w:color="4F81BD" w:themeColor="accent1" w:sz="4" w:space="0"/>
                    </w:tcBorders>
                    <w:vAlign w:val="center"/>
                  </w:tcPr>
                  <w:p w14:paraId="108E0D08">
                    <w:pPr>
                      <w:pStyle w:val="6"/>
                      <w:jc w:val="center"/>
                      <w:rPr>
                        <w:rFonts w:asciiTheme="majorHAnsi" w:hAnsiTheme="majorHAnsi" w:eastAsiaTheme="majorEastAsia" w:cstheme="majorBidi"/>
                        <w:sz w:val="44"/>
                        <w:szCs w:val="44"/>
                      </w:rPr>
                    </w:pPr>
                    <w:r>
                      <w:rPr>
                        <w:rFonts w:ascii="Arial" w:hAnsi="Arial" w:cs="Arial"/>
                        <w:sz w:val="40"/>
                        <w:szCs w:val="32"/>
                        <w:lang w:val="en-US"/>
                      </w:rPr>
                      <w:t>Data Integrity and Robustness Audit Report</w:t>
                    </w:r>
                  </w:p>
                </w:tc>
              </w:sdtContent>
            </w:sdt>
          </w:tr>
          <w:tr w14:paraId="1FE181FD">
            <w:tblPrEx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trHeight w:val="360" w:hRule="atLeast"/>
              <w:jc w:val="center"/>
            </w:trPr>
            <w:tc>
              <w:tcPr>
                <w:tcW w:w="5000" w:type="pct"/>
                <w:vAlign w:val="center"/>
              </w:tcPr>
              <w:p w14:paraId="64199910">
                <w:pPr>
                  <w:pStyle w:val="6"/>
                  <w:jc w:val="center"/>
                </w:pPr>
              </w:p>
            </w:tc>
          </w:tr>
          <w:tr w14:paraId="1B8DAE86">
            <w:tblPrEx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trHeight w:val="360" w:hRule="atLeast"/>
              <w:jc w:val="center"/>
            </w:trPr>
            <w:tc>
              <w:tcPr>
                <w:tcW w:w="5000" w:type="pct"/>
                <w:vAlign w:val="center"/>
              </w:tcPr>
              <w:p w14:paraId="23EF90B6">
                <w:pPr>
                  <w:pStyle w:val="6"/>
                  <w:jc w:val="both"/>
                  <w:rPr>
                    <w:b/>
                    <w:bCs/>
                  </w:rPr>
                </w:pPr>
              </w:p>
            </w:tc>
          </w:tr>
          <w:tr w14:paraId="3A4E60B8">
            <w:tblPrEx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trHeight w:val="360" w:hRule="atLeast"/>
              <w:jc w:val="center"/>
            </w:trPr>
            <w:sdt>
              <w:sdtPr>
                <w:rPr>
                  <w:b/>
                  <w:bCs/>
                </w:rPr>
                <w:alias w:val="Date"/>
                <w:id w:val="516659546"/>
                <w:placeholder>
                  <w:docPart w:val="A926A122232B461FAA62BCD79A8BEBB2"/>
                </w:placeholder>
                <w:dataBinding w:prefixMappings="xmlns:ns0='http://schemas.microsoft.com/office/2006/coverPageProps'" w:xpath="/ns0:CoverPageProperties[1]/ns0:PublishDate[1]" w:storeItemID="{55AF091B-3C7A-41E3-B477-F2FDAA23CFDA}"/>
                <w:date w:fullDate="2026-07-11T00:00:00Z">
                  <w:dateFormat w:val="dd-MMM-yy"/>
                  <w:lid w:val="en-US"/>
                  <w:storeMappedDataAs w:val="datetime"/>
                  <w:calendar w:val="gregorian"/>
                </w:date>
              </w:sdtPr>
              <w:sdtEndPr>
                <w:rPr>
                  <w:b/>
                  <w:bCs/>
                </w:rPr>
              </w:sdtEndPr>
              <w:sdtContent>
                <w:tc>
                  <w:tcPr>
                    <w:tcW w:w="5000" w:type="pct"/>
                    <w:vAlign w:val="center"/>
                  </w:tcPr>
                  <w:p w14:paraId="7990EC27">
                    <w:pPr>
                      <w:pStyle w:val="6"/>
                      <w:jc w:val="center"/>
                      <w:rPr>
                        <w:b/>
                        <w:bCs/>
                      </w:rPr>
                    </w:pPr>
                    <w:bookmarkStart w:id="0" w:name="_GoBack"/>
                    <w:bookmarkEnd w:id="0"/>
                    <w:r>
                      <w:rPr>
                        <w:rFonts w:asciiTheme="minorHAnsi" w:hAnsiTheme="minorHAnsi" w:eastAsiaTheme="minorEastAsia" w:cstheme="minorBidi"/>
                        <w:b/>
                        <w:bCs/>
                        <w:sz w:val="22"/>
                        <w:szCs w:val="22"/>
                        <w:lang w:val="en-US" w:eastAsia="ja-JP" w:bidi="ar-SA"/>
                      </w:rPr>
                      <w:t>11-Jul-26</w:t>
                    </w:r>
                  </w:p>
                </w:tc>
              </w:sdtContent>
            </w:sdt>
          </w:tr>
          <w:tr w14:paraId="582A2D87">
            <w:tblPrEx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trHeight w:val="360" w:hRule="atLeast"/>
              <w:jc w:val="center"/>
            </w:trPr>
            <w:tc>
              <w:tcPr>
                <w:tcW w:w="5000" w:type="pct"/>
                <w:vAlign w:val="center"/>
              </w:tcPr>
              <w:p w14:paraId="69484300">
                <w:pPr>
                  <w:pStyle w:val="6"/>
                  <w:jc w:val="center"/>
                  <w:rPr>
                    <w:b/>
                    <w:bCs/>
                  </w:rPr>
                </w:pPr>
              </w:p>
            </w:tc>
          </w:tr>
        </w:tbl>
        <w:p w14:paraId="1F307348"/>
        <w:p w14:paraId="7610B52A"/>
        <w:tbl>
          <w:tblPr>
            <w:tblStyle w:val="3"/>
            <w:tblpPr w:leftFromText="187" w:rightFromText="187" w:horzAnchor="margin" w:tblpXSpec="center" w:tblpYSpec="bottom"/>
            <w:tblW w:w="5000" w:type="pct"/>
            <w:tblInd w:w="0" w:type="dxa"/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9576"/>
          </w:tblGrid>
          <w:tr w14:paraId="298A2CA3">
            <w:tblPrEx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sdt>
              <w:sdtPr>
                <w:rPr>
                  <w:rFonts w:ascii="Arial" w:hAnsi="Arial" w:cs="Arial" w:eastAsiaTheme="minorHAnsi"/>
                  <w:b/>
                  <w:bCs/>
                  <w:sz w:val="28"/>
                  <w:szCs w:val="36"/>
                  <w:lang w:eastAsia="en-US"/>
                </w:rPr>
                <w:alias w:val="Abstract"/>
                <w:id w:val="8276291"/>
                <w:placeholder>
                  <w:docPart w:val="31F4939652F64495A3021E9C590F2216"/>
                </w:placeholder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EndPr>
                <w:rPr>
                  <w:rFonts w:ascii="Arial" w:hAnsi="Arial" w:cs="Arial" w:eastAsiaTheme="minorHAnsi"/>
                  <w:b/>
                  <w:bCs/>
                  <w:sz w:val="28"/>
                  <w:szCs w:val="36"/>
                  <w:lang w:eastAsia="en-US"/>
                </w:rPr>
              </w:sdtEndPr>
              <w:sdtContent>
                <w:tc>
                  <w:tcPr>
                    <w:tcW w:w="5000" w:type="pct"/>
                  </w:tcPr>
                  <w:p w14:paraId="22B3F4EC">
                    <w:pPr>
                      <w:pStyle w:val="6"/>
                      <w:jc w:val="center"/>
                    </w:pPr>
                    <w:r>
                      <w:rPr>
                        <w:rFonts w:ascii="Arial" w:hAnsi="Arial" w:cs="Arial" w:eastAsiaTheme="minorHAnsi"/>
                        <w:b/>
                        <w:bCs/>
                        <w:sz w:val="28"/>
                        <w:szCs w:val="36"/>
                        <w:lang w:eastAsia="en-US"/>
                      </w:rPr>
                      <w:t xml:space="preserve"> Submitted by KHUSHI SHARMA B TECH Computer science and engineering ,OP Jindal University Raigarh Chhattisgarh</w:t>
                    </w:r>
                  </w:p>
                </w:tc>
              </w:sdtContent>
            </w:sdt>
          </w:tr>
        </w:tbl>
        <w:p w14:paraId="33EBE1E9"/>
        <w:p w14:paraId="1E98586D">
          <w:r>
            <w:br w:type="page"/>
          </w:r>
        </w:p>
      </w:sdtContent>
    </w:sdt>
    <w:p w14:paraId="6F3E7AC5">
      <w:pPr>
        <w:jc w:val="center"/>
      </w:pPr>
      <w:r>
        <w:rPr>
          <w:lang w:bidi="hi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1057275</wp:posOffset>
                </wp:positionH>
                <wp:positionV relativeFrom="paragraph">
                  <wp:posOffset>77470</wp:posOffset>
                </wp:positionV>
                <wp:extent cx="3841750" cy="477520"/>
                <wp:effectExtent l="0" t="0" r="635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1750" cy="477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406645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6"/>
                              </w:rPr>
                              <w:t>EXECUTIVE SUMMARY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3.25pt;margin-top:6.1pt;height:37.6pt;width:302.5pt;z-index:251660288;mso-width-relative:page;mso-height-relative:page;" fillcolor="#FFFFFF [3201]" filled="t" stroked="f" coordsize="21600,21600" o:gfxdata="UEsDBAoAAAAAAIdO4kAAAAAAAAAAAAAAAAAEAAAAZHJzL1BLAwQUAAAACACHTuJATIkTkNQAAAAJ&#10;AQAADwAAAGRycy9kb3ducmV2LnhtbE2PzU7DMBCE70i8g7VI3KiTqCRViNMDElck2tKzGy9xhL2O&#10;bPf36VlOcNvZHc1+060v3okTxjQFUlAuChBIQzATjQp227enFYiUNRntAqGCKyZY9/d3nW5NONMH&#10;njZ5FBxCqdUKbM5zK2UaLHqdFmFG4ttXiF5nlnGUJuozh3snq6KopdcT8QerZ3y1OHxvjl7BfvS3&#10;/Wc5R2u8W9L77brdhUmpx4eyeAGR8ZL/zPCLz+jQM9MhHMkk4VjX9TNbeagqEGxompIXBwWrZgmy&#10;7+T/Bv0PUEsDBBQAAAAIAIdO4kA/WbOlRgIAAJwEAAAOAAAAZHJzL2Uyb0RvYy54bWytVMFu2zAM&#10;vQ/YPwi6r05at2mDOkXWIsOAYi3QDjsrshwbkERNUmJ3X78nOWm7boceloNCkdQj+Uj68mowmu2U&#10;Dx3Zik+PJpwpK6nu7Kbi3x9Xn845C1HYWmiyquJPKvCrxccPl72bq2NqSdfKM4DYMO9dxdsY3bwo&#10;gmyVEeGInLIwNuSNiLj6TVF70QPd6OJ4MjkrevK18yRVCNDejEa+R/TvAaSm6aS6Ibk1ysYR1Sst&#10;IkoKbecCX+Rsm0bJeNc0QUWmK45KYz4RBPI6ncXiUsw3Xri2k/sUxHtSeFOTEZ1F0GeoGxEF2/ru&#10;LyjTSU+BmngkyRRjIZkRVDGdvOHmoRVO5VpAdXDPpIf/Byu/7e496+qKl5xZYdDwRzVE9pkGViZ2&#10;ehfmcHpwcIsD1JiZgz5AmYoeGm/SP8phsIPbp2duE5iE8uS8nM5OYZKwlbPZ6XEmv3h57XyIXxQZ&#10;loSKe/QuUyp2tyEiE7geXFKwQLqrV53W+eI362vt2U6gz6v8S0niyR9u2rK+4mcnyCO9spTej37a&#10;Jo3KI7OPl0ofS0xSHNbDno811U+gw9M4TsHJVYecb0WI98JjflAmNize4Wg0ISTtJc5a8r/+pU/+&#10;aCusnPWYx4qHn1vhFWf6q0XDL6ZlCdiYL+XpDPQx/9qyfm2xW3NNoGKKXXYyi8k/6oPYeDI/sIjL&#10;FBUmYSViVzwexOs4bgkWWarlMjthZJ2It/bByQQ9UrjcRmq63KBE08gNqE8XDG1uwn7B0la8vmev&#10;l4/K4j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MiROQ1AAAAAkBAAAPAAAAAAAAAAEAIAAAACIA&#10;AABkcnMvZG93bnJldi54bWxQSwECFAAUAAAACACHTuJAP1mzpUYCAACcBAAADgAAAAAAAAABACAA&#10;AAAjAQAAZHJzL2Uyb0RvYy54bWxQSwUGAAAAAAYABgBZAQAA2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8406645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6"/>
                        </w:rPr>
                        <w:t>EXECUTIVE SUMMARY</w:t>
                      </w:r>
                    </w:p>
                  </w:txbxContent>
                </v:textbox>
              </v:shape>
            </w:pict>
          </mc:Fallback>
        </mc:AlternateContent>
      </w:r>
    </w:p>
    <w:p w14:paraId="5DB280E6">
      <w:pPr>
        <w:jc w:val="center"/>
        <w:rPr>
          <w:rFonts w:ascii="Agency FB" w:hAnsi="Agency FB"/>
          <w:sz w:val="36"/>
          <w:szCs w:val="30"/>
        </w:rPr>
      </w:pPr>
      <w:r>
        <w:t>​</w:t>
      </w:r>
      <w:r>
        <w:rPr>
          <w:rFonts w:ascii="Agency FB" w:hAnsi="Agency FB"/>
          <w:sz w:val="36"/>
          <w:szCs w:val="30"/>
        </w:rPr>
        <w:t xml:space="preserve"> </w:t>
      </w:r>
    </w:p>
    <w:p w14:paraId="6C0BDF25">
      <w:pPr>
        <w:jc w:val="center"/>
        <w:rPr>
          <w:rFonts w:ascii="Agency FB" w:hAnsi="Agency FB"/>
          <w:sz w:val="36"/>
          <w:szCs w:val="30"/>
        </w:rPr>
      </w:pPr>
      <w:r>
        <w:rPr>
          <w:rFonts w:ascii="Agency FB" w:hAnsi="Agency FB"/>
          <w:sz w:val="36"/>
          <w:szCs w:val="30"/>
        </w:rPr>
        <w:t xml:space="preserve"> </w:t>
      </w: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Project Title: Descriptive &amp; Diagnostic Data Analytics on Customer Transactions</w:t>
      </w:r>
    </w:p>
    <w:p w14:paraId="1B3FC59C">
      <w:pPr>
        <w:jc w:val="center"/>
        <w:rPr>
          <w:rFonts w:ascii="Agency FB" w:hAnsi="Agency FB"/>
          <w:sz w:val="36"/>
          <w:szCs w:val="30"/>
        </w:rPr>
      </w:pPr>
      <w:r>
        <w:rPr>
          <w:rFonts w:ascii="Agency FB" w:hAnsi="Agency FB"/>
          <w:sz w:val="36"/>
          <w:szCs w:val="30"/>
        </w:rPr>
        <w:t>Dataset Size: 1,200 Valid Records</w:t>
      </w:r>
    </w:p>
    <w:p w14:paraId="1A306D51">
      <w:pPr>
        <w:jc w:val="center"/>
        <w:rPr>
          <w:rFonts w:ascii="Agency FB" w:hAnsi="Agency FB"/>
          <w:sz w:val="36"/>
          <w:szCs w:val="30"/>
        </w:rPr>
      </w:pP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1. Introduction &amp; Background</w:t>
      </w:r>
    </w:p>
    <w:p w14:paraId="540D6BDE">
      <w:pPr>
        <w:jc w:val="center"/>
        <w:rPr>
          <w:rFonts w:ascii="Agency FB" w:hAnsi="Agency FB"/>
          <w:sz w:val="36"/>
          <w:szCs w:val="30"/>
        </w:rPr>
      </w:pP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The primary objective of this project was to conduct a comprehensive data diagnosis and descriptive statistical analysis on a transactional dataset containing 1,200 records. Through Python-based data analytics (Pandas, Seaborn, and Matplotlib), the dataset's overall health, distribution structures, anomaly patterns, and variables' interdependencies were evaluated to derive actionable business insights.</w:t>
      </w:r>
    </w:p>
    <w:p w14:paraId="5A87DF48">
      <w:pPr>
        <w:jc w:val="center"/>
        <w:rPr>
          <w:rFonts w:ascii="Agency FB" w:hAnsi="Agency FB"/>
          <w:sz w:val="36"/>
          <w:szCs w:val="30"/>
        </w:rPr>
      </w:pP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2. Core Metrics &amp; Key Findings</w:t>
      </w:r>
    </w:p>
    <w:p w14:paraId="4B673514">
      <w:pPr>
        <w:jc w:val="center"/>
        <w:rPr>
          <w:rFonts w:ascii="Agency FB" w:hAnsi="Agency FB"/>
          <w:sz w:val="36"/>
          <w:szCs w:val="30"/>
        </w:rPr>
      </w:pP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Data Quality &amp; Diagnosis: The dataset stands highly robust with a 98.16% data validity rate. Minor missing values (1.84%) were successfully resolved during the baseline data diagnosis phase, with zero structural or format errors detected.</w:t>
      </w:r>
    </w:p>
    <w:p w14:paraId="5D02126B">
      <w:pPr>
        <w:jc w:val="center"/>
        <w:rPr>
          <w:rFonts w:ascii="Agency FB" w:hAnsi="Agency FB"/>
          <w:sz w:val="36"/>
          <w:szCs w:val="30"/>
        </w:rPr>
      </w:pP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Descriptive Baseline: The average customer transaction (Mean) is $1,053.96, while the middle-most transaction value (Median) stands at $823.61. The standard deviation of 819.85 indicates a healthy, moderate variance in consumer spending. Individual transactions span from a minimum of 11.39 to a maximum of $3,456.40.</w:t>
      </w:r>
    </w:p>
    <w:p w14:paraId="7D475BB1">
      <w:pPr>
        <w:jc w:val="center"/>
        <w:rPr>
          <w:rFonts w:ascii="Agency FB" w:hAnsi="Agency FB"/>
          <w:sz w:val="36"/>
          <w:szCs w:val="30"/>
        </w:rPr>
      </w:pP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3. Diagnostic &amp; Distribution Insights</w:t>
      </w:r>
    </w:p>
    <w:p w14:paraId="20C07BA4">
      <w:pPr>
        <w:jc w:val="center"/>
        <w:rPr>
          <w:rFonts w:ascii="Agency FB" w:hAnsi="Agency FB"/>
          <w:sz w:val="36"/>
          <w:szCs w:val="30"/>
        </w:rPr>
      </w:pP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Symmetry &amp; Skewness: The mathematical analysis yielded a Skewness Value of 0.89, confirming that the revenue distribution is Highly Right-Skewed (Positively Skewed). The visual peak remains densely concentrated under 1,000, establishing that low-to-medium ticket sizes form the daily operational volume, while a steady, tapering tail extends toward premium values.</w:t>
      </w:r>
    </w:p>
    <w:p w14:paraId="2D975AEB">
      <w:pPr>
        <w:jc w:val="center"/>
        <w:rPr>
          <w:rFonts w:ascii="Agency FB" w:hAnsi="Agency FB"/>
          <w:sz w:val="36"/>
          <w:szCs w:val="30"/>
        </w:rPr>
      </w:pP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Outlier Profiling: Using the Interquartile Range (IQR) method via Boxplot visualization, the upper whisker boundary was established near 3,300. A micro-cluster of transactional dots between $3,300 and $3,456.40 were identified as statistical outliers. Diagnostically, these represent high-value bulk buyers or premium corporate accounts rather than data entry anomalies.</w:t>
      </w:r>
    </w:p>
    <w:p w14:paraId="00503F44">
      <w:pPr>
        <w:jc w:val="center"/>
        <w:rPr>
          <w:rFonts w:ascii="Agency FB" w:hAnsi="Agency FB"/>
          <w:sz w:val="36"/>
          <w:szCs w:val="30"/>
        </w:rPr>
      </w:pP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Correlation &amp; Revenue Drivers: The structural heatmap revealed a powerful positive correlation of 0.72 between Unit Price and Total Price, demonstrating that premium item sales are the strongest driver of top-line revenue growth. Quantity also maintains a strong positive correlation of 0.62 with the final bill value. Conversely, a near-zero correlation (0.01) between Quantity and Unit Price shows that pricing shifts do not significantly impact the quantity of items individual clients purchase.</w:t>
      </w:r>
    </w:p>
    <w:p w14:paraId="3BFAF4D0">
      <w:pPr>
        <w:jc w:val="center"/>
        <w:rPr>
          <w:rFonts w:ascii="Agency FB" w:hAnsi="Agency FB"/>
          <w:sz w:val="36"/>
          <w:szCs w:val="30"/>
        </w:rPr>
      </w:pP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4. Strategic Recommendations</w:t>
      </w:r>
    </w:p>
    <w:p w14:paraId="1B02FB52">
      <w:pPr>
        <w:jc w:val="center"/>
        <w:rPr>
          <w:rFonts w:ascii="Agency FB" w:hAnsi="Agency FB"/>
          <w:sz w:val="36"/>
          <w:szCs w:val="30"/>
        </w:rPr>
      </w:pPr>
      <w:r>
        <w:rPr>
          <w:rFonts w:ascii="Arial" w:hAnsi="Arial" w:cs="Arial"/>
          <w:sz w:val="36"/>
          <w:szCs w:val="30"/>
        </w:rPr>
        <w:t>​</w:t>
      </w:r>
      <w:r>
        <w:rPr>
          <w:rFonts w:ascii="Agency FB" w:hAnsi="Agency FB"/>
          <w:sz w:val="36"/>
          <w:szCs w:val="30"/>
        </w:rPr>
        <w:t>Based on the diagnostic patterns, the business should pivot from flat marketing to a segmented approach: design high-tier loyalty programs tailored around premium products (the 0.72 revenue driver) to secure the retention of high-value "outlier" VIP clients, while running bundle offers to push average cart sizes (Quantity) for mid-tier segments.</w:t>
      </w:r>
    </w:p>
    <w:p w14:paraId="2A013499">
      <w:pPr>
        <w:rPr>
          <w:rFonts w:ascii="Agency FB" w:hAnsi="Agency FB"/>
          <w:sz w:val="36"/>
          <w:szCs w:val="30"/>
        </w:rPr>
      </w:pPr>
      <w:r>
        <w:rPr>
          <w:rFonts w:ascii="Agency FB" w:hAnsi="Agency FB"/>
          <w:sz w:val="36"/>
          <w:szCs w:val="30"/>
        </w:rPr>
        <w:br w:type="page"/>
      </w:r>
    </w:p>
    <w:p w14:paraId="327B96E2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 xml:space="preserve">1. Data Overview &amp; Diagnosis </w:t>
      </w:r>
    </w:p>
    <w:p w14:paraId="341CDD20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Objective: Understanding the structure and health of the dataset.</w:t>
      </w:r>
    </w:p>
    <w:p w14:paraId="0DF6B5B9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Findings:</w:t>
      </w:r>
    </w:p>
    <w:p w14:paraId="5068A626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Total Records analyzed: 1,200 rows.</w:t>
      </w:r>
    </w:p>
    <w:p w14:paraId="4518AF47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Data Quality: 98.16% Valid Records, with only 1.84% missing values handled during diagnosis. No format errors detected.</w:t>
      </w:r>
    </w:p>
    <w:p w14:paraId="18D3D5DA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 xml:space="preserve">2. Descriptive Statistics Summary </w:t>
      </w:r>
    </w:p>
    <w:p w14:paraId="0D65894C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Objective: Basic mathematical summary of the business metrics.</w:t>
      </w:r>
    </w:p>
    <w:p w14:paraId="7876E64E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Key Metrics Table:</w:t>
      </w:r>
    </w:p>
    <w:p w14:paraId="150D7CE8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Average Transaction (Mean): 1,053.96</w:t>
      </w:r>
    </w:p>
    <w:p w14:paraId="2EB62691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Middle Value (Median / 50%): 823.61</w:t>
      </w:r>
    </w:p>
    <w:p w14:paraId="41A1D9CB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Standard Deviation (std): 819.85 (Shows moderate variance in how much people spend).</w:t>
      </w:r>
    </w:p>
    <w:p w14:paraId="71862621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Range: Minimum transaction value is 11.39 and the Maximum is 3,456.40.</w:t>
      </w:r>
    </w:p>
    <w:p w14:paraId="445A40AA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 xml:space="preserve">3. Distribution &amp; Skewness Analysis </w:t>
      </w:r>
    </w:p>
    <w:p w14:paraId="49888672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Objective: Visualizing the shape of the revenue data.</w:t>
      </w:r>
    </w:p>
    <w:p w14:paraId="3D9C7120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Insights from Purple Graph:</w:t>
      </w:r>
    </w:p>
    <w:p w14:paraId="44AE7A72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Skewness Value: 0.89</w:t>
      </w:r>
    </w:p>
    <w:p w14:paraId="7EA272C4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Interpretation: The data is Highly Right-Skewed (Positively Skewed). The peak is concentrated between 0 to 1,000, meaning the vast majority of orders are small-to-medium. The long tail towards the right shows fewer but consistent higher-value orders up to 3,500.</w:t>
      </w:r>
    </w:p>
    <w:p w14:paraId="39383106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 xml:space="preserve">4. Outlier Detection </w:t>
      </w:r>
    </w:p>
    <w:p w14:paraId="77B75411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Objective: Identifying extreme anomalies or unique heavy buyers.</w:t>
      </w:r>
    </w:p>
    <w:p w14:paraId="1DB1578F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Insights from Orange Boxplot:</w:t>
      </w:r>
    </w:p>
    <w:p w14:paraId="3D60B6A4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Interquartile Range (IQR): 75% of all customer orders fall below 1,578.47 (Q3 boundary).</w:t>
      </w:r>
    </w:p>
    <w:p w14:paraId="48AAB70D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Outliers Spotted: Transactions crossing $3,300 to $3,500 are plotted as distinct dots outside the right whisker.</w:t>
      </w:r>
    </w:p>
    <w:p w14:paraId="00806815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Business Action: These are not errors; these represent premium VIP clients or bulk corporate orders that require custom marketing strategies.</w:t>
      </w:r>
    </w:p>
    <w:p w14:paraId="0FFB9E7E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 xml:space="preserve">5. Correlation &amp; Relationship Mapping </w:t>
      </w:r>
    </w:p>
    <w:p w14:paraId="51960B7F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Objective: Finding out what actually drives the total sales revenue.</w:t>
      </w:r>
    </w:p>
    <w:p w14:paraId="2B548D77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Insights from Heatmap Matrix:</w:t>
      </w:r>
    </w:p>
    <w:p w14:paraId="56088E82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Unit Price vs. Total Price (0.72): Strongest positive correlation. Premium, higher-priced products are the primary drivers of total revenue volume.</w:t>
      </w:r>
    </w:p>
    <w:p w14:paraId="70D7727D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Quantity vs. Total Price (0.62): Healthy positive correlation. Increasing the number of items per cart significantly increases the bill value.</w:t>
      </w:r>
    </w:p>
    <w:p w14:paraId="046BE9A0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 xml:space="preserve">Quantity vs. Unit Price (0.01): Near zero. Pricing doesn't stop people from buying quantities; customers buy what they need regardless of a product being cheap or expensive. </w:t>
      </w:r>
    </w:p>
    <w:p w14:paraId="186B9AD7">
      <w:pPr>
        <w:jc w:val="center"/>
        <w:rPr>
          <w:rFonts w:ascii="Agency FB" w:hAnsi="Agency FB"/>
          <w:sz w:val="32"/>
          <w:szCs w:val="28"/>
        </w:rPr>
      </w:pPr>
    </w:p>
    <w:p w14:paraId="672EA256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Majority Data Range: 75% of the total transactions are well under 1,578, meaning the business mostly handles low-to-medium value sales.</w:t>
      </w:r>
    </w:p>
    <w:p w14:paraId="2AB195B0">
      <w:pPr>
        <w:jc w:val="center"/>
        <w:rPr>
          <w:rFonts w:ascii="Agency FB" w:hAnsi="Agency FB"/>
          <w:sz w:val="32"/>
          <w:szCs w:val="28"/>
        </w:rPr>
      </w:pPr>
      <w:r>
        <w:rPr>
          <w:rFonts w:ascii="Arial" w:hAnsi="Arial" w:cs="Arial"/>
          <w:sz w:val="32"/>
          <w:szCs w:val="28"/>
        </w:rPr>
        <w:t>​</w:t>
      </w:r>
      <w:r>
        <w:rPr>
          <w:rFonts w:ascii="Agency FB" w:hAnsi="Agency FB"/>
          <w:sz w:val="32"/>
          <w:szCs w:val="28"/>
        </w:rPr>
        <w:t>Outlier Detection: A few extreme high-value transactions exist between 3,300 and 3,500. These are marked as outliers (the dots outside the right whisker).</w:t>
      </w:r>
    </w:p>
    <w:p w14:paraId="036CFD13">
      <w:r>
        <w:br w:type="page"/>
      </w:r>
    </w:p>
    <w:p w14:paraId="68C8CCC6">
      <w:pPr>
        <w:jc w:val="center"/>
      </w:pP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-403860</wp:posOffset>
            </wp:positionH>
            <wp:positionV relativeFrom="paragraph">
              <wp:posOffset>-403225</wp:posOffset>
            </wp:positionV>
            <wp:extent cx="4930775" cy="2741930"/>
            <wp:effectExtent l="0" t="0" r="3175" b="1270"/>
            <wp:wrapTight wrapText="bothSides">
              <wp:wrapPolygon>
                <wp:start x="0" y="0"/>
                <wp:lineTo x="0" y="21460"/>
                <wp:lineTo x="21530" y="21460"/>
                <wp:lineTo x="21530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775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E6B9DB"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-4881245</wp:posOffset>
            </wp:positionH>
            <wp:positionV relativeFrom="paragraph">
              <wp:posOffset>5461635</wp:posOffset>
            </wp:positionV>
            <wp:extent cx="4966970" cy="2848610"/>
            <wp:effectExtent l="0" t="0" r="5080" b="8890"/>
            <wp:wrapTight wrapText="bothSides">
              <wp:wrapPolygon>
                <wp:start x="0" y="0"/>
                <wp:lineTo x="0" y="21523"/>
                <wp:lineTo x="21539" y="21523"/>
                <wp:lineTo x="21539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97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-2125345</wp:posOffset>
            </wp:positionH>
            <wp:positionV relativeFrom="paragraph">
              <wp:posOffset>2127250</wp:posOffset>
            </wp:positionV>
            <wp:extent cx="3431540" cy="3155315"/>
            <wp:effectExtent l="0" t="0" r="0" b="6985"/>
            <wp:wrapTight wrapText="bothSides">
              <wp:wrapPolygon>
                <wp:start x="0" y="0"/>
                <wp:lineTo x="0" y="21517"/>
                <wp:lineTo x="21464" y="21517"/>
                <wp:lineTo x="21464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154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52D9883C">
      <w:r>
        <w:br w:type="page"/>
      </w:r>
    </w:p>
    <w:p w14:paraId="645E8F09">
      <w:pPr>
        <w:jc w:val="center"/>
      </w:pPr>
      <w:r>
        <w:rPr>
          <w:lang w:bidi="hi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641350</wp:posOffset>
                </wp:positionH>
                <wp:positionV relativeFrom="paragraph">
                  <wp:posOffset>1064260</wp:posOffset>
                </wp:positionV>
                <wp:extent cx="4462780" cy="1036955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62818" cy="10372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4AB890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3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5pt;margin-top:83.8pt;height:81.65pt;width:351.4pt;z-index:251659264;mso-width-relative:page;mso-height-relative:page;" fillcolor="#FFFFFF [3201]" filled="t" stroked="f" coordsize="21600,21600" o:gfxdata="UEsDBAoAAAAAAIdO4kAAAAAAAAAAAAAAAAAEAAAAZHJzL1BLAwQUAAAACACHTuJAoOzTqtUAAAAL&#10;AQAADwAAAGRycy9kb3ducmV2LnhtbE2PO0/EMBCEeyT+g7VIdJwdgsIR4lyBRIt0z9oXL3GEvY5i&#10;3/PX31JBt6MdzczXLM7BiyNOaYikoZgpEEhdtAP1Gjbrz6c5iJQNWeMjoYYLJli093eNqW080RKP&#10;q9wLDqFUGw0u57GWMnUOg0mzOCLx7ztOwWSWUy/tZE4cHrx8VqqSwQzEDc6M+OGw+1kdgoZdH667&#10;bTFOzgb/Ql/Xy3oTB60fHwr1DiLjOf+Z4Xc+T4eWN+3jgWwSnrUqmCXzUb1WINgxVyXD7DWUpXoD&#10;2TbyP0N7A1BLAwQUAAAACACHTuJAUHfSokgCAACdBAAADgAAAGRycy9lMm9Eb2MueG1srVRNb9sw&#10;DL0P2H8QdF+dr34FdYqsRYYBxVogHXZWZDkWIIuapMTufv2e5KTtuh16WA4KKVKP5CPpq+u+NWyv&#10;fNBkSz4+GXGmrKRK223Jvz+uPl1wFqKwlTBkVcmfVODXi48frjo3VxNqyFTKM4DYMO9cyZsY3bwo&#10;gmxUK8IJOWVhrMm3IkL126LyogN6a4rJaHRWdOQr50mqEHB7Oxj5AdG/B5DqWkt1S3LXKhsHVK+M&#10;iCgpNNoFvsjZ1rWS8b6ug4rMlByVxnwiCORNOovFlZhvvXCNlocUxHtSeFNTK7RF0GeoWxEF23n9&#10;F1SrpadAdTyR1BZDIZkRVDEeveFm3Qinci2gOrhn0sP/g5Xf9g+e6arkU86saNHwR9VH9pl6Nk3s&#10;dC7M4bR2cIs9rjEzx/uAy1R0X/s2/aMcBju4fXrmNoFJXM5mZ5OLMWZLwjYeTc8n08x+8fLc+RC/&#10;KGpZEkru0bzMqdjfhYhU4Hp0SdECGV2ttDFZ8dvNjfFsL9DoVf6lLPHkDzdjWVfys+npKCNbSu8H&#10;P2MTjsozc4iXah9qTFLsN/2BkA1VT+DD0zBPwcmVRs53IsQH4TFAoAArFu9x1IYQkg4SZw35X/+6&#10;T/7oK6ycdRjIkoefO+EVZ+arRccvx7NZmuCszE7PJ1D8a8vmtcXu2hsCFWMss5NZTP7RHMXaU/sD&#10;m7hMUWESViJ2yeNRvInDmmCTpVousxNm1ol4Z9dOJuhEmKXlLlKtc4MSTQM3oD4pmNrchMOGpbV4&#10;rWevl6/K4j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Cg7NOq1QAAAAsBAAAPAAAAAAAAAAEAIAAA&#10;ACIAAABkcnMvZG93bnJldi54bWxQSwECFAAUAAAACACHTuJAUHfSokgCAACdBAAADgAAAAAAAAAB&#10;ACAAAAAkAQAAZHJzL2Uyb0RvYy54bWxQSwUGAAAAAAYABgBZAQAA3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64AB890">
                      <w:pPr>
                        <w:jc w:val="center"/>
                        <w:rPr>
                          <w:b/>
                          <w:bCs/>
                          <w:sz w:val="40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3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15840"/>
      <w:pgMar w:top="1440" w:right="1440" w:bottom="1440" w:left="1440" w:header="720" w:footer="720" w:gutter="0"/>
      <w:pgBorders w:offsetFrom="page">
        <w:top w:val="twistedLines1" w:color="auto" w:sz="18" w:space="24"/>
        <w:left w:val="twistedLines1" w:color="auto" w:sz="18" w:space="24"/>
        <w:bottom w:val="twistedLines1" w:color="auto" w:sz="18" w:space="24"/>
        <w:right w:val="twistedLines1" w:color="auto" w:sz="18" w:space="24"/>
      </w:pgBorders>
      <w:pgNumType w:start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Courier New"/>
    <w:panose1 w:val="00000400000000000000"/>
    <w:charset w:val="01"/>
    <w:family w:val="roman"/>
    <w:pitch w:val="default"/>
    <w:sig w:usb0="00000000" w:usb1="00000000" w:usb2="00000000" w:usb3="00000000" w:csb0="00000000" w:csb1="00000000"/>
  </w:font>
  <w:font w:name="Mangal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gency FB">
    <w:panose1 w:val="020B0503020202020204"/>
    <w:charset w:val="00"/>
    <w:family w:val="swiss"/>
    <w:pitch w:val="default"/>
    <w:sig w:usb0="00000003" w:usb1="00000000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63E5"/>
    <w:rsid w:val="0015009D"/>
    <w:rsid w:val="00157B69"/>
    <w:rsid w:val="002874D3"/>
    <w:rsid w:val="0029071E"/>
    <w:rsid w:val="00467438"/>
    <w:rsid w:val="00665D1A"/>
    <w:rsid w:val="00796DA9"/>
    <w:rsid w:val="007E5680"/>
    <w:rsid w:val="00A363E5"/>
    <w:rsid w:val="00A55412"/>
    <w:rsid w:val="00B567E5"/>
    <w:rsid w:val="547422D9"/>
    <w:rsid w:val="7A663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No Spacing"/>
    <w:link w:val="7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ja-JP" w:bidi="ar-SA"/>
    </w:rPr>
  </w:style>
  <w:style w:type="character" w:customStyle="1" w:styleId="7">
    <w:name w:val="No Spacing Char"/>
    <w:basedOn w:val="2"/>
    <w:link w:val="6"/>
    <w:qFormat/>
    <w:uiPriority w:val="1"/>
    <w:rPr>
      <w:rFonts w:eastAsiaTheme="minorEastAsia"/>
      <w:lang w:eastAsia="ja-JP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glossaryDocument" Target="glossary/document.xml"/><Relationship Id="rId12" Type="http://schemas.openxmlformats.org/officeDocument/2006/relationships/fontTable" Target="fontTable.xml"/><Relationship Id="rId11" Type="http://schemas.openxmlformats.org/officeDocument/2006/relationships/customXml" Target="../customXml/item3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EB8B2402F813400FADC7CECC087A0B33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CF2CD29-02A1-4D95-BA71-91F401ECE192}"/>
      </w:docPartPr>
      <w:docPartBody>
        <w:p w14:paraId="1D4A35AD">
          <w:pPr>
            <w:pStyle w:val="4"/>
          </w:pPr>
          <w:r>
            <w:rPr>
              <w:rFonts w:asciiTheme="majorHAnsi" w:hAnsiTheme="majorHAnsi" w:eastAsiaTheme="majorEastAsia" w:cstheme="majorBidi"/>
              <w:caps/>
            </w:rPr>
            <w:t>[Type the company name]</w:t>
          </w:r>
        </w:p>
      </w:docPartBody>
    </w:docPart>
    <w:docPart>
      <w:docPartPr>
        <w:name w:val="40C202C83ACA4B8DA6E75F9B08CACAB3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AD2BBD8-8788-48C0-871C-154875C624BA}"/>
      </w:docPartPr>
      <w:docPartBody>
        <w:p w14:paraId="5166155B">
          <w:pPr>
            <w:pStyle w:val="5"/>
          </w:pPr>
          <w:r>
            <w:rPr>
              <w:rFonts w:asciiTheme="majorHAnsi" w:hAnsiTheme="majorHAnsi" w:eastAsiaTheme="majorEastAsia" w:cstheme="majorBidi"/>
              <w:sz w:val="80"/>
              <w:szCs w:val="80"/>
            </w:rPr>
            <w:t>[Type the document title]</w:t>
          </w:r>
        </w:p>
      </w:docPartBody>
    </w:docPart>
    <w:docPart>
      <w:docPartPr>
        <w:name w:val="251D29BDEC2B46F88DA74AFE973B7CCF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C6D65C3-7EAA-45B8-B3B1-2FFECCCE8509}"/>
      </w:docPartPr>
      <w:docPartBody>
        <w:p w14:paraId="281A7FDA">
          <w:pPr>
            <w:pStyle w:val="6"/>
          </w:pPr>
          <w:r>
            <w:rPr>
              <w:rFonts w:asciiTheme="majorHAnsi" w:hAnsiTheme="majorHAnsi" w:eastAsiaTheme="majorEastAsia" w:cstheme="majorBidi"/>
              <w:sz w:val="44"/>
              <w:szCs w:val="44"/>
            </w:rPr>
            <w:t>[Type the document subtitle]</w:t>
          </w:r>
        </w:p>
      </w:docPartBody>
    </w:docPart>
    <w:docPart>
      <w:docPartPr>
        <w:name w:val="A926A122232B461FAA62BCD79A8BEBB2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26826F4-B818-493C-999C-285B123F3B5F}"/>
      </w:docPartPr>
      <w:docPartBody>
        <w:p w14:paraId="7073F40C">
          <w:pPr>
            <w:pStyle w:val="8"/>
          </w:pPr>
          <w:r>
            <w:rPr>
              <w:b/>
              <w:bCs/>
            </w:rPr>
            <w:t>[Pick the date]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Courier New"/>
    <w:panose1 w:val="00000400000000000000"/>
    <w:charset w:val="01"/>
    <w:family w:val="roman"/>
    <w:pitch w:val="default"/>
    <w:sig w:usb0="00000000" w:usb1="00000000" w:usb2="00000000" w:usb3="00000000" w:csb0="00000000" w:csb1="00000000"/>
  </w:font>
  <w:font w:name="Mangal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3E35"/>
    <w:rsid w:val="00186556"/>
    <w:rsid w:val="00D93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qFormat="1" w:uiPriority="99" w:name="Normal Table"/>
  </w:latentStyles>
  <w:style w:type="paragraph" w:default="1" w:styleId="1">
    <w:name w:val="Normal"/>
    <w:qFormat/>
    <w:uiPriority w:val="0"/>
    <w:pPr>
      <w:spacing w:after="200" w:line="276" w:lineRule="auto"/>
    </w:pPr>
    <w:rPr>
      <w:rFonts w:cs="Mangal" w:asciiTheme="minorHAnsi" w:hAnsiTheme="minorHAnsi" w:eastAsiaTheme="minorEastAsia"/>
      <w:sz w:val="22"/>
      <w:lang w:val="en-US" w:eastAsia="en-US" w:bidi="hi-IN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EB8B2402F813400FADC7CECC087A0B33"/>
    <w:uiPriority w:val="0"/>
    <w:pPr>
      <w:spacing w:after="200" w:line="276" w:lineRule="auto"/>
    </w:pPr>
    <w:rPr>
      <w:rFonts w:cs="Mangal" w:asciiTheme="minorHAnsi" w:hAnsiTheme="minorHAnsi" w:eastAsiaTheme="minorEastAsia"/>
      <w:sz w:val="22"/>
      <w:lang w:val="en-US" w:eastAsia="en-US" w:bidi="hi-IN"/>
    </w:rPr>
  </w:style>
  <w:style w:type="paragraph" w:customStyle="1" w:styleId="5">
    <w:name w:val="40C202C83ACA4B8DA6E75F9B08CACAB3"/>
    <w:qFormat/>
    <w:uiPriority w:val="0"/>
    <w:pPr>
      <w:spacing w:after="200" w:line="276" w:lineRule="auto"/>
    </w:pPr>
    <w:rPr>
      <w:rFonts w:cs="Mangal" w:asciiTheme="minorHAnsi" w:hAnsiTheme="minorHAnsi" w:eastAsiaTheme="minorEastAsia"/>
      <w:sz w:val="22"/>
      <w:lang w:val="en-US" w:eastAsia="en-US" w:bidi="hi-IN"/>
    </w:rPr>
  </w:style>
  <w:style w:type="paragraph" w:customStyle="1" w:styleId="6">
    <w:name w:val="251D29BDEC2B46F88DA74AFE973B7CCF"/>
    <w:qFormat/>
    <w:uiPriority w:val="0"/>
    <w:pPr>
      <w:spacing w:after="200" w:line="276" w:lineRule="auto"/>
    </w:pPr>
    <w:rPr>
      <w:rFonts w:cs="Mangal" w:asciiTheme="minorHAnsi" w:hAnsiTheme="minorHAnsi" w:eastAsiaTheme="minorEastAsia"/>
      <w:sz w:val="22"/>
      <w:lang w:val="en-US" w:eastAsia="en-US" w:bidi="hi-IN"/>
    </w:rPr>
  </w:style>
  <w:style w:type="paragraph" w:customStyle="1" w:styleId="7">
    <w:name w:val="23204B27F4AB4C47859833F6BDD5CC50"/>
    <w:qFormat/>
    <w:uiPriority w:val="0"/>
    <w:pPr>
      <w:spacing w:after="200" w:line="276" w:lineRule="auto"/>
    </w:pPr>
    <w:rPr>
      <w:rFonts w:cs="Mangal" w:asciiTheme="minorHAnsi" w:hAnsiTheme="minorHAnsi" w:eastAsiaTheme="minorEastAsia"/>
      <w:sz w:val="22"/>
      <w:lang w:val="en-US" w:eastAsia="en-US" w:bidi="hi-IN"/>
    </w:rPr>
  </w:style>
  <w:style w:type="paragraph" w:customStyle="1" w:styleId="8">
    <w:name w:val="A926A122232B461FAA62BCD79A8BEBB2"/>
    <w:qFormat/>
    <w:uiPriority w:val="0"/>
    <w:pPr>
      <w:spacing w:after="200" w:line="276" w:lineRule="auto"/>
    </w:pPr>
    <w:rPr>
      <w:rFonts w:cs="Mangal" w:asciiTheme="minorHAnsi" w:hAnsiTheme="minorHAnsi" w:eastAsiaTheme="minorEastAsia"/>
      <w:sz w:val="22"/>
      <w:lang w:val="en-US" w:eastAsia="en-US" w:bidi="hi-IN"/>
    </w:rPr>
  </w:style>
  <w:style w:type="paragraph" w:customStyle="1" w:styleId="9">
    <w:name w:val="31F4939652F64495A3021E9C590F2216"/>
    <w:qFormat/>
    <w:uiPriority w:val="0"/>
    <w:pPr>
      <w:spacing w:after="200" w:line="276" w:lineRule="auto"/>
    </w:pPr>
    <w:rPr>
      <w:rFonts w:cs="Mangal" w:asciiTheme="minorHAnsi" w:hAnsiTheme="minorHAnsi" w:eastAsiaTheme="minorEastAsia"/>
      <w:sz w:val="22"/>
      <w:lang w:val="en-US" w:eastAsia="en-US" w:bidi="hi-IN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overPageProperties xmlns="http://schemas.microsoft.com/office/2006/coverPageProps">
  <PublishDate>2026-07-11T00:00:00</PublishDate>
  <Abstract> Submitted by KHUSHI SHARMA B TECH Computer science and engineering ,OP Jindal University Raigarh Chhattisgarh</Abstract>
  <CompanyAddress/>
  <CompanyPhone/>
  <CompanyFax/>
  <CompanyEmail/>
</CoverPage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/>
</ds:datastoreItem>
</file>

<file path=customXml/itemProps3.xml><?xml version="1.0" encoding="utf-8"?>
<ds:datastoreItem xmlns:ds="http://schemas.openxmlformats.org/officeDocument/2006/customXml" ds:itemID="{E4A9AFEE-C604-4E32-9FBD-BA1E9F792CE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decode labs</Company>
  <Pages>8</Pages>
  <Words>419</Words>
  <Characters>2650</Characters>
  <Lines>38</Lines>
  <Paragraphs>10</Paragraphs>
  <TotalTime>3</TotalTime>
  <ScaleCrop>false</ScaleCrop>
  <LinksUpToDate>false</LinksUpToDate>
  <CharactersWithSpaces>3053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2026-07-11T09:48:00Z</dcterms:created>
  <dc:creator>Store01</dc:creator>
  <cp:lastModifiedBy>WPS_1782315220</cp:lastModifiedBy>
  <dcterms:modified xsi:type="dcterms:W3CDTF">2026-07-11T12:27:45Z</dcterms:modified>
  <dc:subject>Data Integrity and Robustness Audit Report</dc:subject>
  <dc:title>EXPLORATORY DATA ANALYSIS (EDA) AND SCHEME VALIDATION PIPELINE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eyJoZGlkIjoiN2Q0OTQ1NTFlNDBiMmNmYzQ5YzNkZDkyMWU5ZjAxNjYiLCJ1c2VySWQiOiI1NDk3NjI2NzQ2MzIifQ==</vt:lpwstr>
  </property>
  <property fmtid="{D5CDD505-2E9C-101B-9397-08002B2CF9AE}" pid="3" name="KSOProductBuildVer">
    <vt:lpwstr>1033-12.1.0.26880</vt:lpwstr>
  </property>
  <property fmtid="{D5CDD505-2E9C-101B-9397-08002B2CF9AE}" pid="4" name="ICV">
    <vt:lpwstr>DBB9960BE7DE4E72B61FA92D38FB48E2_12</vt:lpwstr>
  </property>
</Properties>
</file>