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9C652" w14:textId="76BF787A" w:rsidR="008B2F7F" w:rsidRDefault="002632B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632BF">
        <w:rPr>
          <w:rFonts w:ascii="Times New Roman" w:hAnsi="Times New Roman" w:cs="Times New Roman"/>
          <w:b/>
          <w:bCs/>
          <w:sz w:val="40"/>
          <w:szCs w:val="40"/>
        </w:rPr>
        <w:t xml:space="preserve">TASK </w:t>
      </w:r>
      <w:r w:rsidR="00BF5A1A">
        <w:rPr>
          <w:rFonts w:ascii="Times New Roman" w:hAnsi="Times New Roman" w:cs="Times New Roman"/>
          <w:b/>
          <w:bCs/>
          <w:sz w:val="40"/>
          <w:szCs w:val="40"/>
        </w:rPr>
        <w:t>A</w:t>
      </w:r>
      <w:r w:rsidRPr="002632BF">
        <w:rPr>
          <w:rFonts w:ascii="Times New Roman" w:hAnsi="Times New Roman" w:cs="Times New Roman"/>
          <w:b/>
          <w:bCs/>
          <w:sz w:val="40"/>
          <w:szCs w:val="40"/>
        </w:rPr>
        <w:t>: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E2101E">
        <w:rPr>
          <w:rFonts w:ascii="Times New Roman" w:hAnsi="Times New Roman" w:cs="Times New Roman"/>
          <w:b/>
          <w:bCs/>
          <w:sz w:val="40"/>
          <w:szCs w:val="40"/>
        </w:rPr>
        <w:t>UNDERSTAND THE TARGET</w:t>
      </w:r>
    </w:p>
    <w:p w14:paraId="48D40917" w14:textId="77777777" w:rsidR="00A47127" w:rsidRPr="00D11B02" w:rsidRDefault="00B564CE" w:rsidP="00D11B02">
      <w:pPr>
        <w:rPr>
          <w:rFonts w:ascii="Times New Roman" w:hAnsi="Times New Roman" w:cs="Times New Roman"/>
          <w:sz w:val="40"/>
          <w:szCs w:val="40"/>
        </w:rPr>
      </w:pPr>
      <w:r w:rsidRPr="00D11B02">
        <w:rPr>
          <w:rFonts w:ascii="Times New Roman" w:hAnsi="Times New Roman" w:cs="Times New Roman"/>
          <w:sz w:val="40"/>
          <w:szCs w:val="40"/>
          <w:u w:val="single"/>
        </w:rPr>
        <w:t>Business Model</w:t>
      </w:r>
      <w:r w:rsidRPr="00D11B02">
        <w:rPr>
          <w:rFonts w:ascii="Times New Roman" w:hAnsi="Times New Roman" w:cs="Times New Roman"/>
          <w:sz w:val="40"/>
          <w:szCs w:val="40"/>
        </w:rPr>
        <w:t xml:space="preserve">: </w:t>
      </w:r>
    </w:p>
    <w:p w14:paraId="390948B4" w14:textId="76287137" w:rsidR="00B564CE" w:rsidRPr="00D11B02" w:rsidRDefault="00B564CE" w:rsidP="00D11B02">
      <w:pPr>
        <w:rPr>
          <w:rFonts w:ascii="Times New Roman" w:hAnsi="Times New Roman" w:cs="Times New Roman"/>
          <w:sz w:val="40"/>
          <w:szCs w:val="40"/>
        </w:rPr>
      </w:pPr>
      <w:r w:rsidRPr="00D11B02">
        <w:rPr>
          <w:rFonts w:ascii="Times New Roman" w:hAnsi="Times New Roman" w:cs="Times New Roman"/>
          <w:sz w:val="40"/>
          <w:szCs w:val="40"/>
        </w:rPr>
        <w:t>Organon focuses on delivering impactful medicines and solutions through three core pillars: Women's Health (contraception and fertility), Biosimilars (oncology and immunology), and Established Brands (respiratory, cardiovascular, and dermatology).</w:t>
      </w:r>
    </w:p>
    <w:p w14:paraId="3436E8CC" w14:textId="77777777" w:rsidR="00B564CE" w:rsidRPr="00A47127" w:rsidRDefault="00B564CE" w:rsidP="00B564C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D11B02">
        <w:rPr>
          <w:rFonts w:ascii="Times New Roman" w:hAnsi="Times New Roman" w:cs="Times New Roman"/>
          <w:sz w:val="40"/>
          <w:szCs w:val="40"/>
          <w:u w:val="single"/>
        </w:rPr>
        <w:t>Operating Country</w:t>
      </w:r>
      <w:r w:rsidRPr="00A47127">
        <w:rPr>
          <w:rFonts w:ascii="Times New Roman" w:hAnsi="Times New Roman" w:cs="Times New Roman"/>
          <w:sz w:val="40"/>
          <w:szCs w:val="40"/>
        </w:rPr>
        <w:t>: Centred in the United States but operating as a global pharmaceutical entity.</w:t>
      </w:r>
    </w:p>
    <w:p w14:paraId="398DB7EC" w14:textId="60550B50" w:rsidR="00B564CE" w:rsidRPr="00A47127" w:rsidRDefault="00B564CE" w:rsidP="00B564C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D11B02">
        <w:rPr>
          <w:rFonts w:ascii="Times New Roman" w:hAnsi="Times New Roman" w:cs="Times New Roman"/>
          <w:sz w:val="40"/>
          <w:szCs w:val="40"/>
          <w:u w:val="single"/>
        </w:rPr>
        <w:t>Industry Overview</w:t>
      </w:r>
      <w:r w:rsidRPr="00A47127">
        <w:rPr>
          <w:rFonts w:ascii="Times New Roman" w:hAnsi="Times New Roman" w:cs="Times New Roman"/>
          <w:sz w:val="40"/>
          <w:szCs w:val="40"/>
        </w:rPr>
        <w:t>: Operates within the Pharmaceuticals sector, specifically focusing on special</w:t>
      </w:r>
      <w:r w:rsidR="00224FDE">
        <w:rPr>
          <w:rFonts w:ascii="Times New Roman" w:hAnsi="Times New Roman" w:cs="Times New Roman"/>
          <w:sz w:val="40"/>
          <w:szCs w:val="40"/>
        </w:rPr>
        <w:t>ised</w:t>
      </w:r>
      <w:r w:rsidRPr="00A47127">
        <w:rPr>
          <w:rFonts w:ascii="Times New Roman" w:hAnsi="Times New Roman" w:cs="Times New Roman"/>
          <w:sz w:val="40"/>
          <w:szCs w:val="40"/>
        </w:rPr>
        <w:t xml:space="preserve"> medicines and legacy brand management.</w:t>
      </w:r>
    </w:p>
    <w:p w14:paraId="0CD59C19" w14:textId="77777777" w:rsidR="00B564CE" w:rsidRPr="00A47127" w:rsidRDefault="00B564CE" w:rsidP="00B564C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224FDE">
        <w:rPr>
          <w:rFonts w:ascii="Times New Roman" w:hAnsi="Times New Roman" w:cs="Times New Roman"/>
          <w:sz w:val="40"/>
          <w:szCs w:val="40"/>
          <w:u w:val="single"/>
        </w:rPr>
        <w:t>Major Competitors</w:t>
      </w:r>
      <w:r w:rsidRPr="00A47127">
        <w:rPr>
          <w:rFonts w:ascii="Times New Roman" w:hAnsi="Times New Roman" w:cs="Times New Roman"/>
          <w:sz w:val="40"/>
          <w:szCs w:val="40"/>
        </w:rPr>
        <w:t>: Primary competitors include global pharmaceutical giants and specialty peers such as Viatris, Pfizer, and Merck &amp; Co.</w:t>
      </w:r>
    </w:p>
    <w:p w14:paraId="79D229DE" w14:textId="77777777" w:rsidR="00B564CE" w:rsidRPr="00A47127" w:rsidRDefault="00B564CE" w:rsidP="00B564CE">
      <w:pPr>
        <w:rPr>
          <w:rFonts w:ascii="Times New Roman" w:hAnsi="Times New Roman" w:cs="Times New Roman"/>
          <w:sz w:val="40"/>
          <w:szCs w:val="40"/>
        </w:rPr>
      </w:pPr>
      <w:r w:rsidRPr="001C3875">
        <w:rPr>
          <w:rFonts w:ascii="Times New Roman" w:hAnsi="Times New Roman" w:cs="Times New Roman"/>
          <w:sz w:val="40"/>
          <w:szCs w:val="40"/>
          <w:u w:val="single"/>
        </w:rPr>
        <w:t>Supporting Financial Profile</w:t>
      </w:r>
      <w:r w:rsidRPr="00A47127">
        <w:rPr>
          <w:rFonts w:ascii="Times New Roman" w:hAnsi="Times New Roman" w:cs="Times New Roman"/>
          <w:sz w:val="40"/>
          <w:szCs w:val="40"/>
        </w:rPr>
        <w:t xml:space="preserve"> (Dec-2021 Actuals):</w:t>
      </w:r>
    </w:p>
    <w:p w14:paraId="0E9D3219" w14:textId="77777777" w:rsidR="00B564CE" w:rsidRPr="00A47127" w:rsidRDefault="00B564CE" w:rsidP="00B564CE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A47127">
        <w:rPr>
          <w:rFonts w:ascii="Times New Roman" w:hAnsi="Times New Roman" w:cs="Times New Roman"/>
          <w:sz w:val="40"/>
          <w:szCs w:val="40"/>
        </w:rPr>
        <w:t>Current Asset Base: $3,760 million.</w:t>
      </w:r>
    </w:p>
    <w:p w14:paraId="3F9793B7" w14:textId="77777777" w:rsidR="00B564CE" w:rsidRPr="00A47127" w:rsidRDefault="00B564CE" w:rsidP="00B564CE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A47127">
        <w:rPr>
          <w:rFonts w:ascii="Times New Roman" w:hAnsi="Times New Roman" w:cs="Times New Roman"/>
          <w:sz w:val="40"/>
          <w:szCs w:val="40"/>
        </w:rPr>
        <w:t>Total Debt: Approximately $9,134 million (including current portion).</w:t>
      </w:r>
    </w:p>
    <w:p w14:paraId="350ABAE2" w14:textId="77777777" w:rsidR="00B564CE" w:rsidRPr="00A47127" w:rsidRDefault="00B564CE" w:rsidP="00B564CE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A47127">
        <w:rPr>
          <w:rFonts w:ascii="Times New Roman" w:hAnsi="Times New Roman" w:cs="Times New Roman"/>
          <w:sz w:val="40"/>
          <w:szCs w:val="40"/>
        </w:rPr>
        <w:t>Shares Outstanding: 263 million.</w:t>
      </w:r>
    </w:p>
    <w:p w14:paraId="77B03D0D" w14:textId="78B5CC03" w:rsidR="00B564CE" w:rsidRPr="00A47127" w:rsidRDefault="00B564CE" w:rsidP="00B564CE">
      <w:pPr>
        <w:rPr>
          <w:rFonts w:ascii="Times New Roman" w:hAnsi="Times New Roman" w:cs="Times New Roman"/>
          <w:sz w:val="40"/>
          <w:szCs w:val="40"/>
        </w:rPr>
      </w:pPr>
    </w:p>
    <w:p w14:paraId="448708AA" w14:textId="77777777" w:rsidR="00D463FC" w:rsidRDefault="00D463FC" w:rsidP="00B564CE">
      <w:pPr>
        <w:rPr>
          <w:rFonts w:ascii="Times New Roman" w:hAnsi="Times New Roman" w:cs="Times New Roman"/>
          <w:sz w:val="40"/>
          <w:szCs w:val="40"/>
        </w:rPr>
      </w:pPr>
    </w:p>
    <w:p w14:paraId="3F230A78" w14:textId="48B07C1F" w:rsidR="00B564CE" w:rsidRPr="001C3875" w:rsidRDefault="001C3875" w:rsidP="00B564C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C3875">
        <w:rPr>
          <w:rFonts w:ascii="Times New Roman" w:hAnsi="Times New Roman" w:cs="Times New Roman"/>
          <w:b/>
          <w:bCs/>
          <w:sz w:val="40"/>
          <w:szCs w:val="40"/>
        </w:rPr>
        <w:lastRenderedPageBreak/>
        <w:t>TASK B – SELECT COMPARABLE COMPANIES</w:t>
      </w:r>
    </w:p>
    <w:p w14:paraId="3E55630D" w14:textId="2F28A665" w:rsidR="00B564CE" w:rsidRPr="00A47127" w:rsidRDefault="00B564CE" w:rsidP="00B564CE">
      <w:pPr>
        <w:rPr>
          <w:rFonts w:ascii="Times New Roman" w:hAnsi="Times New Roman" w:cs="Times New Roman"/>
          <w:sz w:val="40"/>
          <w:szCs w:val="40"/>
        </w:rPr>
      </w:pPr>
      <w:r w:rsidRPr="00A47127">
        <w:rPr>
          <w:rFonts w:ascii="Times New Roman" w:hAnsi="Times New Roman" w:cs="Times New Roman"/>
          <w:sz w:val="40"/>
          <w:szCs w:val="40"/>
        </w:rPr>
        <w:t>The following 7 companies have been selected as the peer group based on their industry classification, business drivers, and inclusion in the target's valuation framework.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3232"/>
        <w:gridCol w:w="3781"/>
      </w:tblGrid>
      <w:tr w:rsidR="00B564CE" w:rsidRPr="00A47127" w14:paraId="69A684E5" w14:textId="77777777" w:rsidTr="001C3875">
        <w:tc>
          <w:tcPr>
            <w:tcW w:w="0" w:type="auto"/>
            <w:tcBorders>
              <w:bottom w:val="single" w:sz="4" w:space="0" w:color="5E5E5E"/>
            </w:tcBorders>
            <w:hideMark/>
          </w:tcPr>
          <w:p w14:paraId="6CC5D22C" w14:textId="77777777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t>Company</w:t>
            </w:r>
          </w:p>
        </w:tc>
        <w:tc>
          <w:tcPr>
            <w:tcW w:w="3232" w:type="dxa"/>
            <w:tcBorders>
              <w:bottom w:val="single" w:sz="4" w:space="0" w:color="5E5E5E"/>
            </w:tcBorders>
            <w:hideMark/>
          </w:tcPr>
          <w:p w14:paraId="7C1CC3C3" w14:textId="77777777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t>Included/Excluded</w:t>
            </w:r>
          </w:p>
        </w:tc>
        <w:tc>
          <w:tcPr>
            <w:tcW w:w="3781" w:type="dxa"/>
            <w:tcBorders>
              <w:bottom w:val="single" w:sz="4" w:space="0" w:color="5E5E5E"/>
            </w:tcBorders>
            <w:hideMark/>
          </w:tcPr>
          <w:p w14:paraId="768F11B0" w14:textId="77777777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t>Reason for Selection</w:t>
            </w:r>
          </w:p>
        </w:tc>
      </w:tr>
      <w:tr w:rsidR="00B564CE" w:rsidRPr="00A47127" w14:paraId="24C6CAB4" w14:textId="77777777" w:rsidTr="001C3875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34453E0D" w14:textId="77777777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t>Bristol-Myers Squibb (BMY)</w:t>
            </w:r>
          </w:p>
        </w:tc>
        <w:tc>
          <w:tcPr>
            <w:tcW w:w="3232" w:type="dxa"/>
            <w:tcBorders>
              <w:bottom w:val="single" w:sz="4" w:space="0" w:color="37383B"/>
            </w:tcBorders>
            <w:hideMark/>
          </w:tcPr>
          <w:p w14:paraId="5F6A5209" w14:textId="77777777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t>Included</w:t>
            </w:r>
          </w:p>
        </w:tc>
        <w:tc>
          <w:tcPr>
            <w:tcW w:w="3781" w:type="dxa"/>
            <w:tcBorders>
              <w:bottom w:val="single" w:sz="4" w:space="0" w:color="37383B"/>
            </w:tcBorders>
            <w:hideMark/>
          </w:tcPr>
          <w:p w14:paraId="0CDA10E5" w14:textId="77777777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t>Major pharmaceutical peer; similar focus on specialty biopharma and mature brands.</w:t>
            </w:r>
          </w:p>
        </w:tc>
      </w:tr>
      <w:tr w:rsidR="00B564CE" w:rsidRPr="00A47127" w14:paraId="2788D73B" w14:textId="77777777" w:rsidTr="001C3875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795B26FD" w14:textId="77777777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t>Johnson &amp; Johnson (JNJ)</w:t>
            </w:r>
          </w:p>
        </w:tc>
        <w:tc>
          <w:tcPr>
            <w:tcW w:w="3232" w:type="dxa"/>
            <w:tcBorders>
              <w:bottom w:val="single" w:sz="4" w:space="0" w:color="37383B"/>
            </w:tcBorders>
            <w:hideMark/>
          </w:tcPr>
          <w:p w14:paraId="38F3C2AE" w14:textId="77777777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t>Included</w:t>
            </w:r>
          </w:p>
        </w:tc>
        <w:tc>
          <w:tcPr>
            <w:tcW w:w="3781" w:type="dxa"/>
            <w:tcBorders>
              <w:bottom w:val="single" w:sz="4" w:space="0" w:color="37383B"/>
            </w:tcBorders>
            <w:hideMark/>
          </w:tcPr>
          <w:p w14:paraId="7A804FF8" w14:textId="77777777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t>Industry benchmark for healthcare stability and diverse pharmaceutical operations.</w:t>
            </w:r>
          </w:p>
        </w:tc>
      </w:tr>
      <w:tr w:rsidR="00B564CE" w:rsidRPr="00A47127" w14:paraId="554F0943" w14:textId="77777777" w:rsidTr="001C3875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47B5A8E8" w14:textId="77777777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t>Eli Lilly and Co (LLY)</w:t>
            </w:r>
          </w:p>
        </w:tc>
        <w:tc>
          <w:tcPr>
            <w:tcW w:w="3232" w:type="dxa"/>
            <w:tcBorders>
              <w:bottom w:val="single" w:sz="4" w:space="0" w:color="37383B"/>
            </w:tcBorders>
            <w:hideMark/>
          </w:tcPr>
          <w:p w14:paraId="1F1DA825" w14:textId="77777777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t>Included</w:t>
            </w:r>
          </w:p>
        </w:tc>
        <w:tc>
          <w:tcPr>
            <w:tcW w:w="3781" w:type="dxa"/>
            <w:tcBorders>
              <w:bottom w:val="single" w:sz="4" w:space="0" w:color="37383B"/>
            </w:tcBorders>
            <w:hideMark/>
          </w:tcPr>
          <w:p w14:paraId="4FC86171" w14:textId="77777777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t>Primary growth peer in the specialty pharmaceutical sector.</w:t>
            </w:r>
          </w:p>
        </w:tc>
      </w:tr>
      <w:tr w:rsidR="00B564CE" w:rsidRPr="00A47127" w14:paraId="49FCB571" w14:textId="77777777" w:rsidTr="001C3875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542327AE" w14:textId="77777777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t>Merck &amp; Co Inc (MRK)</w:t>
            </w:r>
          </w:p>
        </w:tc>
        <w:tc>
          <w:tcPr>
            <w:tcW w:w="3232" w:type="dxa"/>
            <w:tcBorders>
              <w:bottom w:val="single" w:sz="4" w:space="0" w:color="37383B"/>
            </w:tcBorders>
            <w:hideMark/>
          </w:tcPr>
          <w:p w14:paraId="63B61DF8" w14:textId="77777777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t>Included</w:t>
            </w:r>
          </w:p>
        </w:tc>
        <w:tc>
          <w:tcPr>
            <w:tcW w:w="3781" w:type="dxa"/>
            <w:tcBorders>
              <w:bottom w:val="single" w:sz="4" w:space="0" w:color="37383B"/>
            </w:tcBorders>
            <w:hideMark/>
          </w:tcPr>
          <w:p w14:paraId="5CA8922D" w14:textId="77777777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t>Original parent company; shares identical legacy therapeutic foundations.</w:t>
            </w:r>
          </w:p>
        </w:tc>
      </w:tr>
      <w:tr w:rsidR="00B564CE" w:rsidRPr="00A47127" w14:paraId="3253FD76" w14:textId="77777777" w:rsidTr="001C3875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7EC99BDE" w14:textId="77777777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lastRenderedPageBreak/>
              <w:t>Pfizer Inc (PFE)</w:t>
            </w:r>
          </w:p>
        </w:tc>
        <w:tc>
          <w:tcPr>
            <w:tcW w:w="3232" w:type="dxa"/>
            <w:tcBorders>
              <w:bottom w:val="single" w:sz="4" w:space="0" w:color="37383B"/>
            </w:tcBorders>
            <w:hideMark/>
          </w:tcPr>
          <w:p w14:paraId="176DA277" w14:textId="77777777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t>Included</w:t>
            </w:r>
          </w:p>
        </w:tc>
        <w:tc>
          <w:tcPr>
            <w:tcW w:w="3781" w:type="dxa"/>
            <w:tcBorders>
              <w:bottom w:val="single" w:sz="4" w:space="0" w:color="37383B"/>
            </w:tcBorders>
            <w:hideMark/>
          </w:tcPr>
          <w:p w14:paraId="63FE6ACC" w14:textId="77777777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t>Direct global competitor with overlapping therapeutic areas.</w:t>
            </w:r>
          </w:p>
        </w:tc>
      </w:tr>
      <w:tr w:rsidR="00B564CE" w:rsidRPr="00A47127" w14:paraId="57847C77" w14:textId="77777777" w:rsidTr="001C3875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5B2F5A2D" w14:textId="77777777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t>Royalty Pharma (RPRX)</w:t>
            </w:r>
          </w:p>
        </w:tc>
        <w:tc>
          <w:tcPr>
            <w:tcW w:w="3232" w:type="dxa"/>
            <w:tcBorders>
              <w:bottom w:val="single" w:sz="4" w:space="0" w:color="37383B"/>
            </w:tcBorders>
            <w:hideMark/>
          </w:tcPr>
          <w:p w14:paraId="42A36709" w14:textId="77777777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t>Included</w:t>
            </w:r>
          </w:p>
        </w:tc>
        <w:tc>
          <w:tcPr>
            <w:tcW w:w="3781" w:type="dxa"/>
            <w:tcBorders>
              <w:bottom w:val="single" w:sz="4" w:space="0" w:color="37383B"/>
            </w:tcBorders>
            <w:hideMark/>
          </w:tcPr>
          <w:p w14:paraId="11B49352" w14:textId="77777777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t>Financial peer focused on pharmaceutical royalty streams.</w:t>
            </w:r>
          </w:p>
        </w:tc>
      </w:tr>
      <w:tr w:rsidR="00B564CE" w:rsidRPr="00A47127" w14:paraId="3F314266" w14:textId="77777777" w:rsidTr="001C3875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10A7CC9B" w14:textId="77777777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t>Zoetis Inc (ZTS)</w:t>
            </w:r>
          </w:p>
        </w:tc>
        <w:tc>
          <w:tcPr>
            <w:tcW w:w="3232" w:type="dxa"/>
            <w:tcBorders>
              <w:bottom w:val="single" w:sz="4" w:space="0" w:color="37383B"/>
            </w:tcBorders>
            <w:hideMark/>
          </w:tcPr>
          <w:p w14:paraId="106114F4" w14:textId="77777777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t>Included</w:t>
            </w:r>
          </w:p>
        </w:tc>
        <w:tc>
          <w:tcPr>
            <w:tcW w:w="3781" w:type="dxa"/>
            <w:tcBorders>
              <w:bottom w:val="single" w:sz="4" w:space="0" w:color="37383B"/>
            </w:tcBorders>
            <w:hideMark/>
          </w:tcPr>
          <w:p w14:paraId="776D826B" w14:textId="77777777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t>Specialty health peer used for high-margin benchmarking.</w:t>
            </w:r>
          </w:p>
        </w:tc>
      </w:tr>
    </w:tbl>
    <w:p w14:paraId="5FCD22E3" w14:textId="157A2B6F" w:rsidR="00B564CE" w:rsidRPr="00A47127" w:rsidRDefault="00B564CE" w:rsidP="00B564CE">
      <w:pPr>
        <w:rPr>
          <w:rFonts w:ascii="Times New Roman" w:hAnsi="Times New Roman" w:cs="Times New Roman"/>
          <w:sz w:val="40"/>
          <w:szCs w:val="40"/>
        </w:rPr>
      </w:pPr>
    </w:p>
    <w:p w14:paraId="567773D3" w14:textId="77777777" w:rsidR="0063234D" w:rsidRDefault="0063234D" w:rsidP="00B564CE">
      <w:pPr>
        <w:rPr>
          <w:rFonts w:ascii="Times New Roman" w:hAnsi="Times New Roman" w:cs="Times New Roman"/>
          <w:sz w:val="40"/>
          <w:szCs w:val="40"/>
        </w:rPr>
      </w:pPr>
    </w:p>
    <w:p w14:paraId="73BF2257" w14:textId="77777777" w:rsidR="0063234D" w:rsidRDefault="0063234D" w:rsidP="00B564CE">
      <w:pPr>
        <w:rPr>
          <w:rFonts w:ascii="Times New Roman" w:hAnsi="Times New Roman" w:cs="Times New Roman"/>
          <w:sz w:val="40"/>
          <w:szCs w:val="40"/>
        </w:rPr>
      </w:pPr>
    </w:p>
    <w:p w14:paraId="76044CEB" w14:textId="77777777" w:rsidR="004D7C79" w:rsidRDefault="004D7C79" w:rsidP="00B564CE">
      <w:pPr>
        <w:rPr>
          <w:rFonts w:ascii="Times New Roman" w:hAnsi="Times New Roman" w:cs="Times New Roman"/>
          <w:sz w:val="40"/>
          <w:szCs w:val="40"/>
        </w:rPr>
      </w:pPr>
    </w:p>
    <w:p w14:paraId="29AEE9CB" w14:textId="77777777" w:rsidR="004D7C79" w:rsidRDefault="004D7C79" w:rsidP="00B564CE">
      <w:pPr>
        <w:rPr>
          <w:rFonts w:ascii="Times New Roman" w:hAnsi="Times New Roman" w:cs="Times New Roman"/>
          <w:sz w:val="40"/>
          <w:szCs w:val="40"/>
        </w:rPr>
      </w:pPr>
    </w:p>
    <w:p w14:paraId="1811BE13" w14:textId="77777777" w:rsidR="004D7C79" w:rsidRDefault="004D7C79" w:rsidP="00B564CE">
      <w:pPr>
        <w:rPr>
          <w:rFonts w:ascii="Times New Roman" w:hAnsi="Times New Roman" w:cs="Times New Roman"/>
          <w:sz w:val="40"/>
          <w:szCs w:val="40"/>
        </w:rPr>
      </w:pPr>
    </w:p>
    <w:p w14:paraId="00E57798" w14:textId="77777777" w:rsidR="004D7C79" w:rsidRDefault="004D7C79" w:rsidP="00B564CE">
      <w:pPr>
        <w:rPr>
          <w:rFonts w:ascii="Times New Roman" w:hAnsi="Times New Roman" w:cs="Times New Roman"/>
          <w:sz w:val="40"/>
          <w:szCs w:val="40"/>
        </w:rPr>
      </w:pPr>
    </w:p>
    <w:p w14:paraId="20BF0441" w14:textId="77777777" w:rsidR="004D7C79" w:rsidRDefault="004D7C79" w:rsidP="00B564CE">
      <w:pPr>
        <w:rPr>
          <w:rFonts w:ascii="Times New Roman" w:hAnsi="Times New Roman" w:cs="Times New Roman"/>
          <w:sz w:val="40"/>
          <w:szCs w:val="40"/>
        </w:rPr>
      </w:pPr>
    </w:p>
    <w:p w14:paraId="010D9C76" w14:textId="77777777" w:rsidR="004D7C79" w:rsidRDefault="004D7C79" w:rsidP="00B564CE">
      <w:pPr>
        <w:rPr>
          <w:rFonts w:ascii="Times New Roman" w:hAnsi="Times New Roman" w:cs="Times New Roman"/>
          <w:sz w:val="40"/>
          <w:szCs w:val="40"/>
        </w:rPr>
      </w:pPr>
    </w:p>
    <w:p w14:paraId="391E3394" w14:textId="77777777" w:rsidR="004D7C79" w:rsidRDefault="004D7C79" w:rsidP="00B564CE">
      <w:pPr>
        <w:rPr>
          <w:rFonts w:ascii="Times New Roman" w:hAnsi="Times New Roman" w:cs="Times New Roman"/>
          <w:sz w:val="40"/>
          <w:szCs w:val="40"/>
        </w:rPr>
      </w:pPr>
    </w:p>
    <w:p w14:paraId="5857BCB4" w14:textId="77777777" w:rsidR="004D7C79" w:rsidRDefault="004D7C79" w:rsidP="00B564CE">
      <w:pPr>
        <w:rPr>
          <w:rFonts w:ascii="Times New Roman" w:hAnsi="Times New Roman" w:cs="Times New Roman"/>
          <w:sz w:val="40"/>
          <w:szCs w:val="40"/>
        </w:rPr>
      </w:pPr>
    </w:p>
    <w:p w14:paraId="2ABA9EA5" w14:textId="56AD7B15" w:rsidR="00B564CE" w:rsidRPr="004D7C79" w:rsidRDefault="004D7C79" w:rsidP="00B564C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D7C79">
        <w:rPr>
          <w:rFonts w:ascii="Times New Roman" w:hAnsi="Times New Roman" w:cs="Times New Roman"/>
          <w:b/>
          <w:bCs/>
          <w:sz w:val="40"/>
          <w:szCs w:val="40"/>
        </w:rPr>
        <w:lastRenderedPageBreak/>
        <w:t>TASK E – BENCHMARK COMPARABLE COMPANIES</w:t>
      </w:r>
    </w:p>
    <w:p w14:paraId="5464E7A6" w14:textId="77777777" w:rsidR="00B564CE" w:rsidRPr="00A47127" w:rsidRDefault="00B564CE" w:rsidP="00B564CE">
      <w:pPr>
        <w:rPr>
          <w:rFonts w:ascii="Times New Roman" w:hAnsi="Times New Roman" w:cs="Times New Roman"/>
          <w:sz w:val="40"/>
          <w:szCs w:val="40"/>
        </w:rPr>
      </w:pPr>
      <w:r w:rsidRPr="00A47127">
        <w:rPr>
          <w:rFonts w:ascii="Times New Roman" w:hAnsi="Times New Roman" w:cs="Times New Roman"/>
          <w:sz w:val="40"/>
          <w:szCs w:val="40"/>
        </w:rPr>
        <w:t>The benchmarking process ranks the peers to identify the market-clearing valuation levels for the pharmaceutical industry.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6"/>
        <w:gridCol w:w="1304"/>
        <w:gridCol w:w="1276"/>
        <w:gridCol w:w="1275"/>
        <w:gridCol w:w="996"/>
      </w:tblGrid>
      <w:tr w:rsidR="00B564CE" w:rsidRPr="00A47127" w14:paraId="128E83AE" w14:textId="77777777" w:rsidTr="004D7C79">
        <w:tc>
          <w:tcPr>
            <w:tcW w:w="3516" w:type="dxa"/>
            <w:tcBorders>
              <w:bottom w:val="single" w:sz="4" w:space="0" w:color="5E5E5E"/>
            </w:tcBorders>
            <w:hideMark/>
          </w:tcPr>
          <w:p w14:paraId="3E17B5A1" w14:textId="77777777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t>Metric</w:t>
            </w:r>
          </w:p>
        </w:tc>
        <w:tc>
          <w:tcPr>
            <w:tcW w:w="1304" w:type="dxa"/>
            <w:tcBorders>
              <w:bottom w:val="single" w:sz="4" w:space="0" w:color="5E5E5E"/>
            </w:tcBorders>
            <w:hideMark/>
          </w:tcPr>
          <w:p w14:paraId="2E9FB1AA" w14:textId="77777777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t>Highest</w:t>
            </w:r>
          </w:p>
        </w:tc>
        <w:tc>
          <w:tcPr>
            <w:tcW w:w="1276" w:type="dxa"/>
            <w:tcBorders>
              <w:bottom w:val="single" w:sz="4" w:space="0" w:color="5E5E5E"/>
            </w:tcBorders>
            <w:hideMark/>
          </w:tcPr>
          <w:p w14:paraId="3F6F87DF" w14:textId="77777777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t>Lowest</w:t>
            </w:r>
          </w:p>
        </w:tc>
        <w:tc>
          <w:tcPr>
            <w:tcW w:w="1275" w:type="dxa"/>
            <w:tcBorders>
              <w:bottom w:val="single" w:sz="4" w:space="0" w:color="5E5E5E"/>
            </w:tcBorders>
            <w:hideMark/>
          </w:tcPr>
          <w:p w14:paraId="34BC49EF" w14:textId="77777777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t>Median</w:t>
            </w:r>
          </w:p>
        </w:tc>
        <w:tc>
          <w:tcPr>
            <w:tcW w:w="996" w:type="dxa"/>
            <w:tcBorders>
              <w:bottom w:val="single" w:sz="4" w:space="0" w:color="5E5E5E"/>
            </w:tcBorders>
            <w:hideMark/>
          </w:tcPr>
          <w:p w14:paraId="366D1A16" w14:textId="77777777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t>Mean</w:t>
            </w:r>
          </w:p>
        </w:tc>
      </w:tr>
      <w:tr w:rsidR="00B564CE" w:rsidRPr="00A47127" w14:paraId="54C76D81" w14:textId="77777777" w:rsidTr="004D7C79">
        <w:tc>
          <w:tcPr>
            <w:tcW w:w="3516" w:type="dxa"/>
            <w:tcBorders>
              <w:bottom w:val="single" w:sz="4" w:space="0" w:color="37383B"/>
            </w:tcBorders>
            <w:hideMark/>
          </w:tcPr>
          <w:p w14:paraId="005E5AD8" w14:textId="77777777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t>Trailing P/E</w:t>
            </w:r>
          </w:p>
        </w:tc>
        <w:tc>
          <w:tcPr>
            <w:tcW w:w="1304" w:type="dxa"/>
            <w:tcBorders>
              <w:bottom w:val="single" w:sz="4" w:space="0" w:color="37383B"/>
            </w:tcBorders>
            <w:hideMark/>
          </w:tcPr>
          <w:p w14:paraId="3ECFBF86" w14:textId="77777777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t>30.4x</w:t>
            </w:r>
          </w:p>
        </w:tc>
        <w:tc>
          <w:tcPr>
            <w:tcW w:w="1276" w:type="dxa"/>
            <w:tcBorders>
              <w:bottom w:val="single" w:sz="4" w:space="0" w:color="37383B"/>
            </w:tcBorders>
            <w:hideMark/>
          </w:tcPr>
          <w:p w14:paraId="42F35438" w14:textId="77777777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t>19.46x</w:t>
            </w:r>
          </w:p>
        </w:tc>
        <w:tc>
          <w:tcPr>
            <w:tcW w:w="1275" w:type="dxa"/>
            <w:tcBorders>
              <w:bottom w:val="single" w:sz="4" w:space="0" w:color="37383B"/>
            </w:tcBorders>
            <w:hideMark/>
          </w:tcPr>
          <w:p w14:paraId="0BF2B6B9" w14:textId="77777777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t>24.4x</w:t>
            </w:r>
          </w:p>
        </w:tc>
        <w:tc>
          <w:tcPr>
            <w:tcW w:w="996" w:type="dxa"/>
            <w:tcBorders>
              <w:bottom w:val="single" w:sz="4" w:space="0" w:color="37383B"/>
            </w:tcBorders>
            <w:hideMark/>
          </w:tcPr>
          <w:p w14:paraId="79588A88" w14:textId="77777777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t>24.8x</w:t>
            </w:r>
          </w:p>
        </w:tc>
      </w:tr>
      <w:tr w:rsidR="00B564CE" w:rsidRPr="00A47127" w14:paraId="27D1315A" w14:textId="77777777" w:rsidTr="004D7C79">
        <w:tc>
          <w:tcPr>
            <w:tcW w:w="3516" w:type="dxa"/>
            <w:tcBorders>
              <w:bottom w:val="single" w:sz="4" w:space="0" w:color="37383B"/>
            </w:tcBorders>
            <w:hideMark/>
          </w:tcPr>
          <w:p w14:paraId="01C0CF80" w14:textId="77777777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t>Trailing EV/EBITDA</w:t>
            </w:r>
          </w:p>
        </w:tc>
        <w:tc>
          <w:tcPr>
            <w:tcW w:w="1304" w:type="dxa"/>
            <w:tcBorders>
              <w:bottom w:val="single" w:sz="4" w:space="0" w:color="37383B"/>
            </w:tcBorders>
            <w:hideMark/>
          </w:tcPr>
          <w:p w14:paraId="5CE5089C" w14:textId="77777777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t>14.58x</w:t>
            </w:r>
          </w:p>
        </w:tc>
        <w:tc>
          <w:tcPr>
            <w:tcW w:w="1276" w:type="dxa"/>
            <w:tcBorders>
              <w:bottom w:val="single" w:sz="4" w:space="0" w:color="37383B"/>
            </w:tcBorders>
            <w:hideMark/>
          </w:tcPr>
          <w:p w14:paraId="598841D5" w14:textId="77777777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t>8.96x</w:t>
            </w:r>
          </w:p>
        </w:tc>
        <w:tc>
          <w:tcPr>
            <w:tcW w:w="1275" w:type="dxa"/>
            <w:tcBorders>
              <w:bottom w:val="single" w:sz="4" w:space="0" w:color="37383B"/>
            </w:tcBorders>
            <w:hideMark/>
          </w:tcPr>
          <w:p w14:paraId="5B526E35" w14:textId="77777777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t>11.45x</w:t>
            </w:r>
          </w:p>
        </w:tc>
        <w:tc>
          <w:tcPr>
            <w:tcW w:w="996" w:type="dxa"/>
            <w:tcBorders>
              <w:bottom w:val="single" w:sz="4" w:space="0" w:color="37383B"/>
            </w:tcBorders>
            <w:hideMark/>
          </w:tcPr>
          <w:p w14:paraId="045ABB54" w14:textId="65AFFA0D" w:rsidR="00B564CE" w:rsidRPr="00A47127" w:rsidRDefault="00B564CE" w:rsidP="00B564C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A47127">
              <w:rPr>
                <w:rFonts w:ascii="Times New Roman" w:hAnsi="Times New Roman" w:cs="Times New Roman"/>
                <w:sz w:val="40"/>
                <w:szCs w:val="40"/>
              </w:rPr>
              <w:t>11.6x</w:t>
            </w:r>
          </w:p>
        </w:tc>
      </w:tr>
    </w:tbl>
    <w:p w14:paraId="4A45B851" w14:textId="77777777" w:rsidR="004D7C79" w:rsidRDefault="004D7C79" w:rsidP="00B564CE">
      <w:pPr>
        <w:rPr>
          <w:rFonts w:ascii="Times New Roman" w:hAnsi="Times New Roman" w:cs="Times New Roman"/>
          <w:sz w:val="40"/>
          <w:szCs w:val="40"/>
        </w:rPr>
      </w:pPr>
    </w:p>
    <w:p w14:paraId="1F5F0724" w14:textId="38EF2AB2" w:rsidR="00B564CE" w:rsidRPr="00A47127" w:rsidRDefault="00B564CE" w:rsidP="00B564CE">
      <w:pPr>
        <w:rPr>
          <w:rFonts w:ascii="Times New Roman" w:hAnsi="Times New Roman" w:cs="Times New Roman"/>
          <w:sz w:val="40"/>
          <w:szCs w:val="40"/>
        </w:rPr>
      </w:pPr>
      <w:r w:rsidRPr="00A47127">
        <w:rPr>
          <w:rFonts w:ascii="Times New Roman" w:hAnsi="Times New Roman" w:cs="Times New Roman"/>
          <w:sz w:val="40"/>
          <w:szCs w:val="40"/>
        </w:rPr>
        <w:t>Outlier Identification: Eli Lilly (LLY) and Johnson &amp; Johnson (JNJ) represent upper-tier outliers in terms of market capitalization ($1.1T and $613B respectively), reflecting a significant size premium compared to Organon.</w:t>
      </w:r>
    </w:p>
    <w:p w14:paraId="1BA1A175" w14:textId="1C0971F5" w:rsidR="00B564CE" w:rsidRPr="00A47127" w:rsidRDefault="00B564CE" w:rsidP="00B564CE">
      <w:pPr>
        <w:rPr>
          <w:rFonts w:ascii="Times New Roman" w:hAnsi="Times New Roman" w:cs="Times New Roman"/>
          <w:sz w:val="40"/>
          <w:szCs w:val="40"/>
        </w:rPr>
      </w:pPr>
    </w:p>
    <w:p w14:paraId="1D8B7103" w14:textId="77777777" w:rsidR="004D7C79" w:rsidRDefault="004D7C79" w:rsidP="00B564CE">
      <w:pPr>
        <w:rPr>
          <w:rFonts w:ascii="Times New Roman" w:hAnsi="Times New Roman" w:cs="Times New Roman"/>
          <w:sz w:val="40"/>
          <w:szCs w:val="40"/>
        </w:rPr>
      </w:pPr>
    </w:p>
    <w:p w14:paraId="58BAB939" w14:textId="77777777" w:rsidR="004D7C79" w:rsidRDefault="004D7C79" w:rsidP="00B564CE">
      <w:pPr>
        <w:rPr>
          <w:rFonts w:ascii="Times New Roman" w:hAnsi="Times New Roman" w:cs="Times New Roman"/>
          <w:sz w:val="40"/>
          <w:szCs w:val="40"/>
        </w:rPr>
      </w:pPr>
    </w:p>
    <w:p w14:paraId="2C98CE64" w14:textId="77777777" w:rsidR="004D7C79" w:rsidRDefault="004D7C79" w:rsidP="00B564CE">
      <w:pPr>
        <w:rPr>
          <w:rFonts w:ascii="Times New Roman" w:hAnsi="Times New Roman" w:cs="Times New Roman"/>
          <w:sz w:val="40"/>
          <w:szCs w:val="40"/>
        </w:rPr>
      </w:pPr>
    </w:p>
    <w:p w14:paraId="1C87F959" w14:textId="77777777" w:rsidR="004D7C79" w:rsidRDefault="004D7C79" w:rsidP="00B564CE">
      <w:pPr>
        <w:rPr>
          <w:rFonts w:ascii="Times New Roman" w:hAnsi="Times New Roman" w:cs="Times New Roman"/>
          <w:sz w:val="40"/>
          <w:szCs w:val="40"/>
        </w:rPr>
      </w:pPr>
    </w:p>
    <w:p w14:paraId="61D399C4" w14:textId="77777777" w:rsidR="004D7C79" w:rsidRDefault="004D7C79" w:rsidP="00B564CE">
      <w:pPr>
        <w:rPr>
          <w:rFonts w:ascii="Times New Roman" w:hAnsi="Times New Roman" w:cs="Times New Roman"/>
          <w:sz w:val="40"/>
          <w:szCs w:val="40"/>
        </w:rPr>
      </w:pPr>
    </w:p>
    <w:p w14:paraId="6E4EF282" w14:textId="77777777" w:rsidR="004D7C79" w:rsidRDefault="004D7C79" w:rsidP="00B564CE">
      <w:pPr>
        <w:rPr>
          <w:rFonts w:ascii="Times New Roman" w:hAnsi="Times New Roman" w:cs="Times New Roman"/>
          <w:sz w:val="40"/>
          <w:szCs w:val="40"/>
        </w:rPr>
      </w:pPr>
    </w:p>
    <w:p w14:paraId="22BBD3E2" w14:textId="378AA479" w:rsidR="00B564CE" w:rsidRPr="004D7C79" w:rsidRDefault="004D7C79" w:rsidP="00B564C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D7C79">
        <w:rPr>
          <w:rFonts w:ascii="Times New Roman" w:hAnsi="Times New Roman" w:cs="Times New Roman"/>
          <w:b/>
          <w:bCs/>
          <w:sz w:val="40"/>
          <w:szCs w:val="40"/>
        </w:rPr>
        <w:lastRenderedPageBreak/>
        <w:t>TASK F – DETERMINE VALUATION</w:t>
      </w:r>
    </w:p>
    <w:p w14:paraId="1ABC386E" w14:textId="77777777" w:rsidR="00B564CE" w:rsidRPr="00A47127" w:rsidRDefault="00B564CE" w:rsidP="00B564CE">
      <w:pPr>
        <w:rPr>
          <w:rFonts w:ascii="Times New Roman" w:hAnsi="Times New Roman" w:cs="Times New Roman"/>
          <w:sz w:val="40"/>
          <w:szCs w:val="40"/>
        </w:rPr>
      </w:pPr>
      <w:r w:rsidRPr="00A47127">
        <w:rPr>
          <w:rFonts w:ascii="Times New Roman" w:hAnsi="Times New Roman" w:cs="Times New Roman"/>
          <w:sz w:val="40"/>
          <w:szCs w:val="40"/>
        </w:rPr>
        <w:t>The value of Organon is estimated by applying the Median Peer Multiples to its specific financial metrics.</w:t>
      </w:r>
    </w:p>
    <w:p w14:paraId="41CD97B2" w14:textId="77777777" w:rsidR="00B564CE" w:rsidRPr="00A47127" w:rsidRDefault="00B564CE" w:rsidP="00B564CE">
      <w:pPr>
        <w:rPr>
          <w:rFonts w:ascii="Times New Roman" w:hAnsi="Times New Roman" w:cs="Times New Roman"/>
          <w:sz w:val="40"/>
          <w:szCs w:val="40"/>
        </w:rPr>
      </w:pPr>
      <w:r w:rsidRPr="00A47127">
        <w:rPr>
          <w:rFonts w:ascii="Times New Roman" w:hAnsi="Times New Roman" w:cs="Times New Roman"/>
          <w:sz w:val="40"/>
          <w:szCs w:val="40"/>
        </w:rPr>
        <w:t xml:space="preserve">1. </w:t>
      </w:r>
      <w:r w:rsidRPr="00D125E8">
        <w:rPr>
          <w:rFonts w:ascii="Times New Roman" w:hAnsi="Times New Roman" w:cs="Times New Roman"/>
          <w:sz w:val="40"/>
          <w:szCs w:val="40"/>
          <w:u w:val="single"/>
        </w:rPr>
        <w:t>EV / EBITDA Approach (Primary Valuation)</w:t>
      </w:r>
    </w:p>
    <w:p w14:paraId="0741694D" w14:textId="77777777" w:rsidR="00B564CE" w:rsidRPr="00A47127" w:rsidRDefault="00B564CE" w:rsidP="00B564CE">
      <w:pPr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A47127">
        <w:rPr>
          <w:rFonts w:ascii="Times New Roman" w:hAnsi="Times New Roman" w:cs="Times New Roman"/>
          <w:sz w:val="40"/>
          <w:szCs w:val="40"/>
        </w:rPr>
        <w:t>Target EBITDA (Trailing): $1,966 million (Implied).</w:t>
      </w:r>
    </w:p>
    <w:p w14:paraId="73715615" w14:textId="77777777" w:rsidR="00B564CE" w:rsidRPr="00A47127" w:rsidRDefault="00B564CE" w:rsidP="00B564CE">
      <w:pPr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A47127">
        <w:rPr>
          <w:rFonts w:ascii="Times New Roman" w:hAnsi="Times New Roman" w:cs="Times New Roman"/>
          <w:sz w:val="40"/>
          <w:szCs w:val="40"/>
        </w:rPr>
        <w:t>Median Peer Multiple: 11.45x.</w:t>
      </w:r>
    </w:p>
    <w:p w14:paraId="5E005CC9" w14:textId="77777777" w:rsidR="00B564CE" w:rsidRPr="00A47127" w:rsidRDefault="00B564CE" w:rsidP="00B564CE">
      <w:pPr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A47127">
        <w:rPr>
          <w:rFonts w:ascii="Times New Roman" w:hAnsi="Times New Roman" w:cs="Times New Roman"/>
          <w:sz w:val="40"/>
          <w:szCs w:val="40"/>
        </w:rPr>
        <w:t>Implied Enterprise Value: $22,511 million ().</w:t>
      </w:r>
    </w:p>
    <w:p w14:paraId="4EF48048" w14:textId="77777777" w:rsidR="00B564CE" w:rsidRPr="00A47127" w:rsidRDefault="00B564CE" w:rsidP="00B564CE">
      <w:pPr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A47127">
        <w:rPr>
          <w:rFonts w:ascii="Times New Roman" w:hAnsi="Times New Roman" w:cs="Times New Roman"/>
          <w:sz w:val="40"/>
          <w:szCs w:val="40"/>
        </w:rPr>
        <w:t>Less: Net Debt Adjustment: ($7,453 million).</w:t>
      </w:r>
    </w:p>
    <w:p w14:paraId="14EA2E43" w14:textId="77777777" w:rsidR="00B564CE" w:rsidRPr="00A47127" w:rsidRDefault="00B564CE" w:rsidP="00B564CE">
      <w:pPr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A47127">
        <w:rPr>
          <w:rFonts w:ascii="Times New Roman" w:hAnsi="Times New Roman" w:cs="Times New Roman"/>
          <w:sz w:val="40"/>
          <w:szCs w:val="40"/>
        </w:rPr>
        <w:t>Implied Equity Value: $15,058 million.</w:t>
      </w:r>
    </w:p>
    <w:p w14:paraId="76FD8D96" w14:textId="77777777" w:rsidR="00B564CE" w:rsidRPr="00A47127" w:rsidRDefault="00B564CE" w:rsidP="00B564CE">
      <w:pPr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A47127">
        <w:rPr>
          <w:rFonts w:ascii="Times New Roman" w:hAnsi="Times New Roman" w:cs="Times New Roman"/>
          <w:sz w:val="40"/>
          <w:szCs w:val="40"/>
        </w:rPr>
        <w:t>Implied Value per Share: $57.34.</w:t>
      </w:r>
    </w:p>
    <w:p w14:paraId="782DBE1B" w14:textId="77777777" w:rsidR="00B564CE" w:rsidRPr="00A47127" w:rsidRDefault="00B564CE" w:rsidP="00B564CE">
      <w:pPr>
        <w:rPr>
          <w:rFonts w:ascii="Times New Roman" w:hAnsi="Times New Roman" w:cs="Times New Roman"/>
          <w:sz w:val="40"/>
          <w:szCs w:val="40"/>
        </w:rPr>
      </w:pPr>
      <w:r w:rsidRPr="00A47127">
        <w:rPr>
          <w:rFonts w:ascii="Times New Roman" w:hAnsi="Times New Roman" w:cs="Times New Roman"/>
          <w:sz w:val="40"/>
          <w:szCs w:val="40"/>
        </w:rPr>
        <w:t xml:space="preserve">2. </w:t>
      </w:r>
      <w:r w:rsidRPr="00F42474">
        <w:rPr>
          <w:rFonts w:ascii="Times New Roman" w:hAnsi="Times New Roman" w:cs="Times New Roman"/>
          <w:sz w:val="40"/>
          <w:szCs w:val="40"/>
          <w:u w:val="single"/>
        </w:rPr>
        <w:t>P / E Approach (Secondary Check)</w:t>
      </w:r>
    </w:p>
    <w:p w14:paraId="0DE31383" w14:textId="77777777" w:rsidR="00B564CE" w:rsidRPr="00A47127" w:rsidRDefault="00B564CE" w:rsidP="00B564CE">
      <w:pPr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A47127">
        <w:rPr>
          <w:rFonts w:ascii="Times New Roman" w:hAnsi="Times New Roman" w:cs="Times New Roman"/>
          <w:sz w:val="40"/>
          <w:szCs w:val="40"/>
        </w:rPr>
        <w:t>Target Profit After Tax: $246 million.</w:t>
      </w:r>
    </w:p>
    <w:p w14:paraId="5B704C40" w14:textId="77777777" w:rsidR="00B564CE" w:rsidRPr="00A47127" w:rsidRDefault="00B564CE" w:rsidP="00B564CE">
      <w:pPr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A47127">
        <w:rPr>
          <w:rFonts w:ascii="Times New Roman" w:hAnsi="Times New Roman" w:cs="Times New Roman"/>
          <w:sz w:val="40"/>
          <w:szCs w:val="40"/>
        </w:rPr>
        <w:t>Median Peer Multiple: 24.4x.</w:t>
      </w:r>
    </w:p>
    <w:p w14:paraId="7E2A0DE9" w14:textId="77777777" w:rsidR="00B564CE" w:rsidRPr="00A47127" w:rsidRDefault="00B564CE" w:rsidP="00B564CE">
      <w:pPr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A47127">
        <w:rPr>
          <w:rFonts w:ascii="Times New Roman" w:hAnsi="Times New Roman" w:cs="Times New Roman"/>
          <w:sz w:val="40"/>
          <w:szCs w:val="40"/>
        </w:rPr>
        <w:t>Implied Equity Value: $6,002 million ().</w:t>
      </w:r>
    </w:p>
    <w:p w14:paraId="2E649B9B" w14:textId="77777777" w:rsidR="00B564CE" w:rsidRPr="00A47127" w:rsidRDefault="00B564CE" w:rsidP="00B564CE">
      <w:pPr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A47127">
        <w:rPr>
          <w:rFonts w:ascii="Times New Roman" w:hAnsi="Times New Roman" w:cs="Times New Roman"/>
          <w:sz w:val="40"/>
          <w:szCs w:val="40"/>
        </w:rPr>
        <w:t>Implied Value per Share: $22.86.</w:t>
      </w:r>
    </w:p>
    <w:p w14:paraId="64B25BCD" w14:textId="77777777" w:rsidR="00B564CE" w:rsidRPr="00A47127" w:rsidRDefault="00B564CE" w:rsidP="00B564CE">
      <w:pPr>
        <w:rPr>
          <w:rFonts w:ascii="Times New Roman" w:hAnsi="Times New Roman" w:cs="Times New Roman"/>
          <w:sz w:val="40"/>
          <w:szCs w:val="40"/>
        </w:rPr>
      </w:pPr>
      <w:r w:rsidRPr="00A47127">
        <w:rPr>
          <w:rFonts w:ascii="Times New Roman" w:hAnsi="Times New Roman" w:cs="Times New Roman"/>
          <w:sz w:val="40"/>
          <w:szCs w:val="40"/>
        </w:rPr>
        <w:t>Summary Valuation Cases (Value per Share)</w:t>
      </w:r>
    </w:p>
    <w:p w14:paraId="2978C727" w14:textId="77777777" w:rsidR="00B564CE" w:rsidRPr="00A47127" w:rsidRDefault="00B564CE" w:rsidP="00B564CE">
      <w:pPr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</w:rPr>
      </w:pPr>
      <w:r w:rsidRPr="00A47127">
        <w:rPr>
          <w:rFonts w:ascii="Times New Roman" w:hAnsi="Times New Roman" w:cs="Times New Roman"/>
          <w:sz w:val="40"/>
          <w:szCs w:val="40"/>
        </w:rPr>
        <w:t>Low Case (Trailing P/E at 19.46x): $18.23.</w:t>
      </w:r>
    </w:p>
    <w:p w14:paraId="197CEA6D" w14:textId="77777777" w:rsidR="00B564CE" w:rsidRPr="00A47127" w:rsidRDefault="00B564CE" w:rsidP="00B564CE">
      <w:pPr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</w:rPr>
      </w:pPr>
      <w:r w:rsidRPr="00A47127">
        <w:rPr>
          <w:rFonts w:ascii="Times New Roman" w:hAnsi="Times New Roman" w:cs="Times New Roman"/>
          <w:sz w:val="40"/>
          <w:szCs w:val="40"/>
        </w:rPr>
        <w:t>Base Case (Median Peer Multiples): $22.86 – $57.34.</w:t>
      </w:r>
    </w:p>
    <w:p w14:paraId="683A2778" w14:textId="77777777" w:rsidR="00B564CE" w:rsidRPr="00A47127" w:rsidRDefault="00B564CE" w:rsidP="00B564CE">
      <w:pPr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</w:rPr>
      </w:pPr>
      <w:r w:rsidRPr="00A47127">
        <w:rPr>
          <w:rFonts w:ascii="Times New Roman" w:hAnsi="Times New Roman" w:cs="Times New Roman"/>
          <w:sz w:val="40"/>
          <w:szCs w:val="40"/>
        </w:rPr>
        <w:lastRenderedPageBreak/>
        <w:t>High Case (Trailing EV/EBITDA at 14.58x): $80.77.</w:t>
      </w:r>
    </w:p>
    <w:p w14:paraId="1A091890" w14:textId="77777777" w:rsidR="00B564CE" w:rsidRPr="00A47127" w:rsidRDefault="00B564CE" w:rsidP="00B564CE">
      <w:pPr>
        <w:rPr>
          <w:rFonts w:ascii="Times New Roman" w:hAnsi="Times New Roman" w:cs="Times New Roman"/>
          <w:sz w:val="40"/>
          <w:szCs w:val="40"/>
        </w:rPr>
      </w:pPr>
      <w:r w:rsidRPr="00F42474">
        <w:rPr>
          <w:rFonts w:ascii="Times New Roman" w:hAnsi="Times New Roman" w:cs="Times New Roman"/>
          <w:sz w:val="40"/>
          <w:szCs w:val="40"/>
          <w:u w:val="single"/>
        </w:rPr>
        <w:t xml:space="preserve">Methodology Note: </w:t>
      </w:r>
      <w:r w:rsidRPr="00A47127">
        <w:rPr>
          <w:rFonts w:ascii="Times New Roman" w:hAnsi="Times New Roman" w:cs="Times New Roman"/>
          <w:sz w:val="40"/>
          <w:szCs w:val="40"/>
        </w:rPr>
        <w:t>The valuation utilizes a relative approach, assuming the market prices Organon's earnings and cash flow in line with its established pharmaceutical peers. The significant gap between the current price ($13.50) and the implied base case suggests the stock is currently undervalued relative to its peer group</w:t>
      </w:r>
    </w:p>
    <w:p w14:paraId="37440739" w14:textId="77777777" w:rsidR="00E2101E" w:rsidRPr="00A47127" w:rsidRDefault="00E2101E">
      <w:pPr>
        <w:rPr>
          <w:rFonts w:ascii="Times New Roman" w:hAnsi="Times New Roman" w:cs="Times New Roman"/>
          <w:sz w:val="40"/>
          <w:szCs w:val="40"/>
        </w:rPr>
      </w:pPr>
    </w:p>
    <w:sectPr w:rsidR="00E2101E" w:rsidRPr="00A471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342"/>
    <w:multiLevelType w:val="multilevel"/>
    <w:tmpl w:val="A130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50C24"/>
    <w:multiLevelType w:val="hybridMultilevel"/>
    <w:tmpl w:val="F0B289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EB1958"/>
    <w:multiLevelType w:val="multilevel"/>
    <w:tmpl w:val="EBB6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530F0"/>
    <w:multiLevelType w:val="multilevel"/>
    <w:tmpl w:val="5606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D2B0D"/>
    <w:multiLevelType w:val="multilevel"/>
    <w:tmpl w:val="A5FC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472DD"/>
    <w:multiLevelType w:val="multilevel"/>
    <w:tmpl w:val="A504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8A0DD5"/>
    <w:multiLevelType w:val="multilevel"/>
    <w:tmpl w:val="915E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0068B3"/>
    <w:multiLevelType w:val="multilevel"/>
    <w:tmpl w:val="E46C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421333">
    <w:abstractNumId w:val="4"/>
  </w:num>
  <w:num w:numId="2" w16cid:durableId="1483425780">
    <w:abstractNumId w:val="2"/>
  </w:num>
  <w:num w:numId="3" w16cid:durableId="1710453000">
    <w:abstractNumId w:val="7"/>
  </w:num>
  <w:num w:numId="4" w16cid:durableId="1596741624">
    <w:abstractNumId w:val="3"/>
  </w:num>
  <w:num w:numId="5" w16cid:durableId="2087411241">
    <w:abstractNumId w:val="5"/>
  </w:num>
  <w:num w:numId="6" w16cid:durableId="1126239882">
    <w:abstractNumId w:val="0"/>
  </w:num>
  <w:num w:numId="7" w16cid:durableId="648049859">
    <w:abstractNumId w:val="6"/>
  </w:num>
  <w:num w:numId="8" w16cid:durableId="1348949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F7F"/>
    <w:rsid w:val="001C3875"/>
    <w:rsid w:val="00224FDE"/>
    <w:rsid w:val="002632BF"/>
    <w:rsid w:val="004D7C79"/>
    <w:rsid w:val="0063234D"/>
    <w:rsid w:val="006533D9"/>
    <w:rsid w:val="008B2F7F"/>
    <w:rsid w:val="008F6F4A"/>
    <w:rsid w:val="00A47127"/>
    <w:rsid w:val="00B564CE"/>
    <w:rsid w:val="00BF5A1A"/>
    <w:rsid w:val="00D11B02"/>
    <w:rsid w:val="00D125E8"/>
    <w:rsid w:val="00D463FC"/>
    <w:rsid w:val="00E2101E"/>
    <w:rsid w:val="00EB5ECC"/>
    <w:rsid w:val="00F42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63B4D"/>
  <w15:chartTrackingRefBased/>
  <w15:docId w15:val="{99D2F332-5508-4646-B73A-FFB63F66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F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6</Pages>
  <Words>515</Words>
  <Characters>2938</Characters>
  <Application>Microsoft Office Word</Application>
  <DocSecurity>0</DocSecurity>
  <Lines>24</Lines>
  <Paragraphs>6</Paragraphs>
  <ScaleCrop>false</ScaleCrop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Aishik Mukherjee</dc:creator>
  <cp:keywords/>
  <dc:description/>
  <cp:lastModifiedBy>Aishik Mukherjee</cp:lastModifiedBy>
  <cp:revision>16</cp:revision>
  <dcterms:created xsi:type="dcterms:W3CDTF">2026-07-07T16:39:00Z</dcterms:created>
  <dcterms:modified xsi:type="dcterms:W3CDTF">2026-07-07T18:13:00Z</dcterms:modified>
</cp:coreProperties>
</file>