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0F766E"/>
          <w:sz w:val="26"/>
          <w:szCs w:val="26"/>
        </w:rPr>
        <w:t xml:space="preserve">แผนธุรกิจและโมเดลราคาโดยละเอียด</w:t>
      </w:r>
    </w:p>
    <w:p>
      <w:pPr>
        <w:spacing w:after="200" w:before="200"/>
        <w:jc w:val="center"/>
      </w:pPr>
      <w:r>
        <w:rPr>
          <w:rFonts w:ascii="TH Sarabun New" w:cs="TH Sarabun New" w:eastAsia="TH Sarabun New" w:hAnsi="TH Sarabun New"/>
          <w:b/>
          <w:bCs/>
          <w:color w:val="1F3864"/>
          <w:sz w:val="56"/>
          <w:szCs w:val="56"/>
        </w:rPr>
        <w:t xml:space="preserve">หมู่บ้านดิจิตอล</w:t>
      </w:r>
    </w:p>
    <w:p>
      <w:pPr>
        <w:spacing w:after="800"/>
        <w:jc w:val="center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แพลตฟอร์มบริหารจัดการและขับเคลื่อนสุขภาพ-เศรษฐกิจชุมชนอัจฉริยะ</w:t>
      </w: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color w:val="595959"/>
          <w:sz w:val="24"/>
          <w:szCs w:val="24"/>
        </w:rPr>
        <w:t xml:space="preserve">จัดทำเพื่อประกอบการยื่นขอทุนสนับสนุน/ประกวดนวัตกรรม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i/>
          <w:iCs/>
          <w:color w:val="595959"/>
          <w:sz w:val="22"/>
          <w:szCs w:val="22"/>
        </w:rPr>
        <w:t xml:space="preserve">(เช่น depa, สสส., อว./บพท., NIA และหน่วยงานภาครัฐที่เกี่ยวข้อง)</w:t>
      </w:r>
    </w:p>
    <w:p>
      <w:pPr>
        <w:spacing w:before="1400"/>
      </w:pPr>
    </w:p>
    <w:p>
      <w:pPr>
        <w:jc w:val="center"/>
      </w:pPr>
      <w:r>
        <w:rPr>
          <w:rFonts w:ascii="TH Sarabun New" w:cs="TH Sarabun New" w:eastAsia="TH Sarabun New" w:hAnsi="TH Sarabun New"/>
          <w:i/>
          <w:iCs/>
          <w:color w:val="B42318"/>
          <w:sz w:val="20"/>
          <w:szCs w:val="20"/>
        </w:rPr>
        <w:t xml:space="preserve">เวอร์ชันร่างสำหรับพิจารณาภายใน — ผู้จัดทำโปรดกรอกข้อมูลนิติบุคคล/ทีมงานให้ครบก่อนยื่นจริง</w:t>
      </w:r>
    </w:p>
    <w:p>
      <w:pPr>
        <w:spacing w:before="400"/>
        <w:jc w:val="center"/>
      </w:pPr>
      <w:r>
        <w:rPr>
          <w:rFonts w:ascii="TH Sarabun New" w:cs="TH Sarabun New" w:eastAsia="TH Sarabun New" w:hAnsi="TH Sarabun New"/>
          <w:color w:val="595959"/>
          <w:sz w:val="22"/>
          <w:szCs w:val="22"/>
        </w:rPr>
        <w:t xml:space="preserve">สิงหาคม 2569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1. บทสรุปผู้บริหาร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4"/>
          <w:szCs w:val="24"/>
        </w:rPr>
        <w:t xml:space="preserve">หมู่บ้านดิจิตอล เป็นแพลตฟอร์มซอฟต์แวร์บริหารจัดการหมู่บ้าน/ตำบล ที่รวมข้อมูลครัวเรือน บุคคล สุขภาพ เศรษฐกิจ ปัญหาชุมชน และโครงการอบรม ไว้ในระบบเดียว พร้อมคำนวณดัชนีสุขภาพหมู่บ้าน (Village Health Index) และแผนที่ภูมิสารสนเทศ (GIS) เพื่อช่วยผู้นำชุมชนและหน่วยงานปกครองส่วนท้องถิ่นตัดสินใจเชิงพื้นที่ได้แม่นยำขึ้น แทนที่การเก็บข้อมูลแบบกระดาษ/สเปรดชีตที่กระจัดกระจายในปัจจุบัน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4"/>
          <w:szCs w:val="24"/>
        </w:rPr>
        <w:t xml:space="preserve">เอกสารฉบับนี้จัดทำขึ้นเพื่อสนับสนุนการยื่นขอทุนสนับสนุน/ประกวดนวัตกรรมจากหน่วยงานภาครัฐ โดยมีเป้าหมายปีที่ 1 คือการนำร่องระดับจังหวัด/ภูมิภาค (1 จังหวัดต้นแบบ) ก่อนขยายผลในปีถัดไป เนื้อหาประกอบด้วยการวิเคราะห์ตลาด คู่แข่ง โมเดลรายได้และราคาโดยละเอียด แผนการดำเนินงาน งบประมาณที่เสนอขอ และแผนความยั่งยืนหลังหมดระยะทุน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2476"/>
        <w:gridCol w:w="2476"/>
        <w:gridCol w:w="2476"/>
      </w:tblGrid>
      <w:tr>
        <w:tc>
          <w:tcPr>
            <w:tcW w:type="dxa" w:w="2476"/>
            <w:shd w:fill="EEF3F8" w:color="auto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30"/>
                <w:szCs w:val="30"/>
              </w:rPr>
              <w:t xml:space="preserve">75,086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595959"/>
                <w:sz w:val="18"/>
                <w:szCs w:val="18"/>
              </w:rPr>
              <w:t xml:space="preserve">หมู่บ้านทั่วประเทศ</w:t>
            </w:r>
          </w:p>
        </w:tc>
        <w:tc>
          <w:tcPr>
            <w:tcW w:type="dxa" w:w="2476"/>
            <w:shd w:fill="EEF3F8" w:color="auto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30"/>
                <w:szCs w:val="30"/>
              </w:rPr>
              <w:t xml:space="preserve">5,300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595959"/>
                <w:sz w:val="18"/>
                <w:szCs w:val="18"/>
              </w:rPr>
              <w:t xml:space="preserve">อบต. ทั่วประเทศ</w:t>
            </w:r>
          </w:p>
        </w:tc>
        <w:tc>
          <w:tcPr>
            <w:tcW w:type="dxa" w:w="2476"/>
            <w:shd w:fill="EEF3F8" w:color="auto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30"/>
                <w:szCs w:val="30"/>
              </w:rPr>
              <w:t xml:space="preserve">7,850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595959"/>
                <w:sz w:val="18"/>
                <w:szCs w:val="18"/>
              </w:rPr>
              <w:t xml:space="preserve">อปท. ทุกประเภทรวมกัน</w:t>
            </w:r>
          </w:p>
        </w:tc>
        <w:tc>
          <w:tcPr>
            <w:tcW w:type="dxa" w:w="2476"/>
            <w:shd w:fill="EEF3F8" w:color="auto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30"/>
                <w:szCs w:val="30"/>
              </w:rPr>
              <w:t xml:space="preserve">76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595959"/>
                <w:sz w:val="18"/>
                <w:szCs w:val="18"/>
              </w:rPr>
              <w:t xml:space="preserve">จังหวัด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595959"/>
          <w:sz w:val="21"/>
          <w:szCs w:val="21"/>
        </w:rPr>
        <w:t xml:space="preserve">แหล่งข้อมูล: กรมการปกครอง กระทรวงมหาดไทย (ข้อมูลทางการปกครองทั่วประเทศ) และ Thai PBS/The Active อ้างอิงข้อมูล อบต. ปี 2568 — ดูรายละเอียดแหล่งอ้างอิงท้ายเล่ม</w:t>
      </w:r>
    </w:p>
    <w:p>
      <w:pPr>
        <w:spacing w:after="100" w:before="200"/>
      </w:pPr>
      <w:r>
        <w:rPr>
          <w:rFonts w:ascii="TH Sarabun New" w:cs="TH Sarabun New" w:eastAsia="TH Sarabun New" w:hAnsi="TH Sarabun New"/>
          <w:b/>
          <w:bCs/>
          <w:color w:val="222222"/>
          <w:sz w:val="24"/>
          <w:szCs w:val="24"/>
        </w:rPr>
        <w:t xml:space="preserve">ประเด็นสำคัญที่ผู้พิจารณาทุนควรทราบ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ผลิตภัณฑ์อยู่ในระยะต้นแบบใช้งานได้ (working prototype) มีฟีเจอร์ครบ 8 โมดูลหลัก แต่ยังไม่มีหมู่บ้าน/อบต. ที่ใช้งานจริงและจ่ายเงินจริง — ทุนที่ขอจะใช้พิสูจน์รูปแบบธุรกิจ (proof of business model) ในพื้นที่นำร่อง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ตลาดเป็นภาคราชการที่มีวงจรงบประมาณและกระบวนการจัดซื้อจัดจ้างเฉพาะ จึงออกแบบโมเดลราคาแบบ freemium + subscription ต่อตำบล/ปี ที่รองรับทั้งการสมัครเองของผู้นำชุมชนรายย่อย และการจัดซื้อแบบสัญญาปีของ อบต.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ทุนภาครัฐที่มีความเป็นไปได้ ได้แก่ NIA (City &amp; Community Innovation Challenge / Social Innovation Fund) วงเงินสูงสุด 1.5 ล้านบาทต่อโครงการ, บพท. (โปรแกรมเมืองน่าอยู่ที่ชาญฉลาด), depa (OTOD/Digital Transformation Fund) และ สสส. ในฐานะภาคีด้านเนื้อหาสุขภาพชุมชน — รายละเอียดในบทที่ 8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2. ที่มาและความสำคัญของปัญหา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4"/>
          <w:szCs w:val="24"/>
        </w:rPr>
        <w:t xml:space="preserve">จากการสำรวจปัญหาที่หน่วยงานปกครองท้องถิ่นและอาสาสมัครสาธารณสุขประจำหมู่บ้าน (อสม.) เผชิญอยู่ในปัจจุบัน สรุปได้ 3 ประเด็นหลัก:</w:t>
      </w:r>
    </w:p>
    <w:p>
      <w:pPr>
        <w:spacing w:after="100" w:before="200"/>
      </w:pPr>
      <w:r>
        <w:rPr>
          <w:rFonts w:ascii="TH Sarabun New" w:cs="TH Sarabun New" w:eastAsia="TH Sarabun New" w:hAnsi="TH Sarabun New"/>
          <w:b/>
          <w:bCs/>
          <w:color w:val="222222"/>
          <w:sz w:val="24"/>
          <w:szCs w:val="24"/>
        </w:rPr>
        <w:t xml:space="preserve">2.1 ข้อมูลแยกส่วนและตกยุค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4"/>
          <w:szCs w:val="24"/>
        </w:rPr>
        <w:t xml:space="preserve">ข้อมูลครัวเรือน สุขภาพ และเศรษฐกิจ ถูกบันทึกแยกกันเป็นแฟ้มกระดาษหรือไฟล์สเปรดชีตส่วนบุคคลของแต่ละเจ้าหน้าที่ ทำให้การสืบค้นข้อมูลเร่งด่วน (เช่น กรณีต้องช่วยเหลือผู้ป่วยติดเตียง) ใช้เวลานาน และข้อมูลสูญหายง่ายเมื่อเจ้าหน้าที่ย้ายหรือพ้นวาระ</w:t>
      </w:r>
    </w:p>
    <w:p>
      <w:pPr>
        <w:spacing w:after="100" w:before="200"/>
      </w:pPr>
      <w:r>
        <w:rPr>
          <w:rFonts w:ascii="TH Sarabun New" w:cs="TH Sarabun New" w:eastAsia="TH Sarabun New" w:hAnsi="TH Sarabun New"/>
          <w:b/>
          <w:bCs/>
          <w:color w:val="222222"/>
          <w:sz w:val="24"/>
          <w:szCs w:val="24"/>
        </w:rPr>
        <w:t xml:space="preserve">2.2 ขาดข้อมูลสนับสนุนการตัดสินใจเชิงพื้นที่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4"/>
          <w:szCs w:val="24"/>
        </w:rPr>
        <w:t xml:space="preserve">ผู้บริหารระดับตำบล อำเภอ และจังหวัด ไม่มีตัวชี้วัดเชิงสถิติที่เป็นมาตรฐานเดียวกันในการจัดลำดับความสำคัญว่าพื้นที่ใดต้องการความช่วยเหลือเร่งด่วนที่สุด ทำให้การจัดสรรงบประมาณและกำลังคนขาดความแม่นยำ</w:t>
      </w:r>
    </w:p>
    <w:p>
      <w:pPr>
        <w:spacing w:after="100" w:before="200"/>
      </w:pPr>
      <w:r>
        <w:rPr>
          <w:rFonts w:ascii="TH Sarabun New" w:cs="TH Sarabun New" w:eastAsia="TH Sarabun New" w:hAnsi="TH Sarabun New"/>
          <w:b/>
          <w:bCs/>
          <w:color w:val="222222"/>
          <w:sz w:val="24"/>
          <w:szCs w:val="24"/>
        </w:rPr>
        <w:t xml:space="preserve">2.3 การลงพื้นที่ไร้ทิศทาง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4"/>
          <w:szCs w:val="24"/>
        </w:rPr>
        <w:t xml:space="preserve">ผู้เยี่ยมบ้าน (อสม./เจ้าหน้าที่) มักต้องเดินสำรวจแบบสุ่มหรือขาดประวัติความเจ็บป่วยย้อนหลังก่อนลงพื้นที่จริง และไม่มีระบบระบุพิกัดเชิงรุก (GIS) ที่ช่วยวางแผนเส้นทางเยี่ยมบ้านกลุ่มเสี่ยงได้อย่างมีประสิทธิภาพ</w:t>
      </w:r>
    </w:p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595959"/>
          <w:sz w:val="21"/>
          <w:szCs w:val="21"/>
        </w:rPr>
        <w:t xml:space="preserve">สิ่งสำคัญที่ต้องยอมรับตรงไปตรงมา: ปัญหานี้ไม่ได้ไร้ทางแก้อยู่ก่อนแล้ว — มีระบบราชการหลายระบบ (จปฐ./TCNAP, JHCIS, อสม.ออนไลน์) ที่พยายามแก้บางส่วนของปัญหานี้อยู่ก่อน หมู่บ้านดิจิตอล ต้องแสดงให้ชัดว่าเข้ามา "เติมช่องว่าง" ตรงไหนที่ระบบเดิมยังทำไม่ได้ ไม่ใช่สร้างภาระกรอกข้อมูลซ้ำซ้อน (ดูบทที่ 5 การวิเคราะห์คู่แข่ง)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3. ภาพรวมผลิตภัณฑ์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4"/>
          <w:szCs w:val="24"/>
        </w:rPr>
        <w:t xml:space="preserve">หมู่บ้านดิจิตอล พัฒนาด้วยสถาปัตยกรรมเว็บแอปพลิเคชันสมัยใหม่ (Spring Boot backend + Next.js frontend, ฐานข้อมูล PostgreSQL) รองรับการใช้งานผ่านเบราว์เซอร์โดยไม่ต้องติดตั้งโปรแกรม ปัจจุบันมีโมดูลการทำงานดังนี้: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06"/>
        <w:gridCol w:w="30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โมดูล</w:t>
            </w:r>
          </w:p>
        </w:tc>
        <w:tc>
          <w:tcPr>
            <w:tcW w:type="dxa" w:w="430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รายละเอียด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สถานะ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ทะเบียนครัวเรือน/บุคคล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ข้อมูลพื้นฐานครัวเรือน สมาชิก ทักษะบุคคล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พร้อมใช้งาน</w:t>
            </w:r>
          </w:p>
        </w:tc>
      </w:tr>
      <w:tr>
        <w:tc>
          <w:tcPr>
            <w:tcW w:type="dxa" w:w="26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ข้อมูลสุขภาพ</w:t>
            </w:r>
          </w:p>
        </w:tc>
        <w:tc>
          <w:tcPr>
            <w:tcW w:type="dxa" w:w="43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ประวัติสุขภาพ ผู้ป่วยติดเตียง ผู้สูงอายุ การเยี่ยมบ้าน</w:t>
            </w:r>
          </w:p>
        </w:tc>
        <w:tc>
          <w:tcPr>
            <w:tcW w:type="dxa" w:w="30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พร้อมใช้งาน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ข้อมูลเศรษฐกิจครัวเรือน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รายได้ อาชีพ หนี้สิน กลุ่มออมทรัพย์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พร้อมใช้งาน</w:t>
            </w:r>
          </w:p>
        </w:tc>
      </w:tr>
      <w:tr>
        <w:tc>
          <w:tcPr>
            <w:tcW w:type="dxa" w:w="26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ปัญหาชุมชน</w:t>
            </w:r>
          </w:p>
        </w:tc>
        <w:tc>
          <w:tcPr>
            <w:tcW w:type="dxa" w:w="43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แจ้ง/ติดตามปัญหา แนบภาพ ระดับความเร่งด่วน</w:t>
            </w:r>
          </w:p>
        </w:tc>
        <w:tc>
          <w:tcPr>
            <w:tcW w:type="dxa" w:w="30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พร้อมใช้งาน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โครงการอบรม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ลงทะเบียนโครงการ ผูกกลุ่มเป้าหมายตามสิทธิ์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พร้อมใช้งาน</w:t>
            </w:r>
          </w:p>
        </w:tc>
      </w:tr>
      <w:tr>
        <w:tc>
          <w:tcPr>
            <w:tcW w:type="dxa" w:w="26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Village Health Index (VHI)</w:t>
            </w:r>
          </w:p>
        </w:tc>
        <w:tc>
          <w:tcPr>
            <w:tcW w:type="dxa" w:w="43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คะแนน 0–100 จาก 3 ปัจจัยสุขภาพ คำนวณอัตโนมัติ</w:t>
            </w:r>
          </w:p>
        </w:tc>
        <w:tc>
          <w:tcPr>
            <w:tcW w:type="dxa" w:w="30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พร้อมใช้งาน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แผนที่ GIS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ปักหมุดครัวเรือน เปลี่ยนสีตามสถานะสุขภาพ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พร้อมใช้งาน</w:t>
            </w:r>
          </w:p>
        </w:tc>
      </w:tr>
      <w:tr>
        <w:tc>
          <w:tcPr>
            <w:tcW w:type="dxa" w:w="26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ระบบสิทธิ์แบบลำดับชั้น</w:t>
            </w:r>
          </w:p>
        </w:tc>
        <w:tc>
          <w:tcPr>
            <w:tcW w:type="dxa" w:w="43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จังหวัด/อำเภอ/ตำบล/หมู่บ้าน กรองข้อมูลอัตโนมัติ</w:t>
            </w:r>
          </w:p>
        </w:tc>
        <w:tc>
          <w:tcPr>
            <w:tcW w:type="dxa" w:w="30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พร้อมใช้งาน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ระบบค่าน้ำประปาหมู่บ้าน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ตั้งอัตรา ออกบิล บันทึกการชำระเงิน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พร้อมใช้งาน (โมดูลเสริม)</w:t>
            </w:r>
          </w:p>
        </w:tc>
      </w:tr>
      <w:tr>
        <w:tc>
          <w:tcPr>
            <w:tcW w:type="dxa" w:w="26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แจ้งเตือนผ่าน LINE/SMS</w:t>
            </w:r>
          </w:p>
        </w:tc>
        <w:tc>
          <w:tcPr>
            <w:tcW w:type="dxa" w:w="43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แจ้งเตือน อสม. เมื่อครบกำหนดเยี่ยมบ้านกลุ่มเสี่ยง</w:t>
            </w:r>
          </w:p>
        </w:tc>
        <w:tc>
          <w:tcPr>
            <w:tcW w:type="dxa" w:w="30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อยู่ในแผนพัฒนา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พยากรณ์ความเสี่ยงด้วย AI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วิเคราะห์ข้อมูลสะสมเพื่อพยากรณ์แนวโน้มสุขภาพ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อยู่ในแผนพัฒนา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595959"/>
          <w:sz w:val="21"/>
          <w:szCs w:val="21"/>
        </w:rPr>
        <w:t xml:space="preserve">ระดับความพร้อมของเทคโนโลยี (TRL) โดยประมาณ: TRL 6–7 (ระบบต้นแบบทำงานได้ครบในสภาพแวดล้อมจำลอง ยังไม่ผ่านการใช้งานจริงในพื้นที่ปฏิบัติงานต่อเนื่อง) — การนำร่องปีที่ 1 คือขั้นตอนยกระดับสู่ TRL 8–9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4. การวิเคราะห์ตลาดและขนาดตลาด</w:t>
      </w: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0F766E"/>
          <w:sz w:val="26"/>
          <w:szCs w:val="26"/>
        </w:rPr>
        <w:t xml:space="preserve">4.1 ขนาดตลาดเชิงปริมาณ (TAM / SAM / SOM)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4806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ระดับ</w:t>
            </w:r>
          </w:p>
        </w:tc>
        <w:tc>
          <w:tcPr>
            <w:tcW w:type="dxa" w:w="33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นิยาม</w:t>
            </w:r>
          </w:p>
        </w:tc>
        <w:tc>
          <w:tcPr>
            <w:tcW w:type="dxa" w:w="480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ขนาด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TAM
(ตลาดรวม)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องค์กรปกครองส่วนท้องถิ่น (อปท.) ทุกประเภททั่วประเทศ</w:t>
            </w:r>
          </w:p>
        </w:tc>
        <w:tc>
          <w:tcPr>
            <w:tcW w:type="dxa" w:w="48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7,850 แห่ง ครอบคลุม 75,086 หมู่บ้าน ใน 7,255 ตำบล 76 จังหวัด</w:t>
            </w:r>
          </w:p>
        </w:tc>
      </w:tr>
      <w:tr>
        <w:tc>
          <w:tcPr>
            <w:tcW w:type="dxa" w:w="18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SAM
(ตลาดที่เข้าถึงได้)</w:t>
            </w:r>
          </w:p>
        </w:tc>
        <w:tc>
          <w:tcPr>
            <w:tcW w:type="dxa" w:w="33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อบต. และเทศบาลตำบล ซึ่งเป็นกลุ่มที่มีขนาดเล็ก งบประมาณจำกัด และขาดระบบข้อมูลรวมศูนย์มากที่สุด</w:t>
            </w:r>
          </w:p>
        </w:tc>
        <w:tc>
          <w:tcPr>
            <w:tcW w:type="dxa" w:w="48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อบต. 5,300 แห่ง (กลุ่มเป้าหมายหลัก) — เป็นฐานลูกค้าหลักของปีที่ 1–3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SOM
(ส่วนแบ่งที่ทำได้จริงใน 3 ปี)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จำนวน อบต./เทศบาลตำบลที่คาดว่าจะสมัครใช้งานจริงภายในปีที่ 3 หากนำร่องสำเร็จและขยายผลตามแผน</w:t>
            </w:r>
          </w:p>
        </w:tc>
        <w:tc>
          <w:tcPr>
            <w:tcW w:type="dxa" w:w="48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ประมาณ 250–350 แห่ง (~5–7% ของ SAM) กระจายใน 3–5 จังหวัด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0F766E"/>
          <w:sz w:val="26"/>
          <w:szCs w:val="26"/>
        </w:rPr>
        <w:t xml:space="preserve">4.2 บริบทงบประมาณท้องถิ่น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4"/>
          <w:szCs w:val="24"/>
        </w:rPr>
        <w:t xml:space="preserve">ในปีงบประมาณ 2564 อบต. และเทศบาลตำบลได้รับเงินอุดหนุนรวม 226,450 ล้านบาท คิดเป็น 70.9% ของงบประมาณท้องถิ่นทั้งหมด (322,250 ล้านบาท) ขณะที่สัดส่วนรายได้ที่ท้องถิ่นจัดเก็บเองลดลงจาก 63.4% (2561) เหลือ 59.2% (2564) สะท้อนว่า อบต. ส่วนใหญ่พึ่งพาเงินอุดหนุนจากส่วนกลางและมีงบประมาณดุลยพินิจ (discretionary budget) จำกัดสำหรับการจัดซื้อซอฟต์แวร์ใหม่ — นี่คือเหตุผลสำคัญที่โมเดลราคาต้องมี free tier และช่องทางการอุดหนุนผ่านทุนวิจัย/นวัตกรรมในระยะเริ่มต้น (ดูบทที่ 8)</w:t>
      </w: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0F766E"/>
          <w:sz w:val="26"/>
          <w:szCs w:val="26"/>
        </w:rPr>
        <w:t xml:space="preserve">4.3 กลุ่มลูกค้าเป้าหมาย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ผู้ใหญ่บ้าน/ผู้นำชุมชนขนาดเล็ก — ผู้ใช้งาน free tier เพื่อทดลองและเป็นฐานข้อมูลเชิงเครือข่าย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นายก อบต./ปลัด อบต. — ผู้มีอำนาจตัดสินใจจัดซื้อระดับตำบล เป็นกลุ่มลูกค้าจ่ายเงินหลัก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สำนักงานสาธารณสุขอำเภอ/จังหวัด (สสอ./สสจ.) และที่ทำการปกครองอำเภอ — ผู้ใช้งาน dashboard ภาพรวมข้ามตำบล และพันธมิตรเชิงนโยบาย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หน่วยงานให้ทุน/ประกวดนวัตกรรม — ผู้สนับสนุนเงินทุนช่วงพิสูจน์แนวคิดและขยายผล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5. การวิเคราะห์คู่แข่งและความแตกต่าง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4"/>
          <w:szCs w:val="24"/>
        </w:rPr>
        <w:t xml:space="preserve">คู่แข่งของ หมู่บ้านดิจิตอล ไม่ใช่บริษัทเอกชนเป็นหลัก แต่คือระบบราชการที่มีอยู่แล้วและเจ้าหน้าที่ต้องใช้งานตามระเบียบ การวางตำแหน่งผลิตภัณฑ์จึงต้องชัดเจนว่า "เสริม" มากกว่า "แข่งขัน" กับระบบเหล่านี้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2500"/>
        <w:gridCol w:w="1906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ระบบ/หน่วยงาน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จุดเด่น</w:t>
            </w:r>
          </w:p>
        </w:tc>
        <w:tc>
          <w:tcPr>
            <w:tcW w:type="dxa" w:w="25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ข้อจำกัด</w:t>
            </w:r>
          </w:p>
        </w:tc>
        <w:tc>
          <w:tcPr>
            <w:tcW w:type="dxa" w:w="190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ตำแหน่งของ หมู่บ้านดิจิตอล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ข้อมูล จปฐ./กชจ. (กรมการพัฒนาชุมชน)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สำรวจครอบคลุมทั่วประเทศ เป็นมาตรฐานราชการ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เก็บข้อมูลปีละครั้ง ไม่ real-time ไม่มี GIS เชิงบุคคล</w:t>
            </w:r>
          </w:p>
        </w:tc>
        <w:tc>
          <w:tcPr>
            <w:tcW w:type="dxa" w:w="19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เสริมด้วยข้อมูล real-time + ราย ครัวเรือนต่อเนื่องตลอดปี</w:t>
            </w:r>
          </w:p>
        </w:tc>
      </w:tr>
      <w:tr>
        <w:tc>
          <w:tcPr>
            <w:tcW w:type="dxa" w:w="23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JHCIS / HosXP (รพ.สต.)</w:t>
            </w:r>
          </w:p>
        </w:tc>
        <w:tc>
          <w:tcPr>
            <w:tcW w:type="dxa" w:w="32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ข้อมูลทางการแพทย์ละเอียด เชื่อมระบบสาธารณสุข</w:t>
            </w:r>
          </w:p>
        </w:tc>
        <w:tc>
          <w:tcPr>
            <w:tcW w:type="dxa" w:w="25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เข้มเฉพาะมิติสุขภาพ ไม่มีมิติเศรษฐกิจ/ปัญหาชุมชน/ผู้บริหารท้องถิ่น</w:t>
            </w:r>
          </w:p>
        </w:tc>
        <w:tc>
          <w:tcPr>
            <w:tcW w:type="dxa" w:w="19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เชื่อมโยงมิติสุขภาพเข้ากับมิติเศรษฐกิจ-สังคม-โครงสร้างพื้นฐานในภาพเดียว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แอป อสม.ออนไลน์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เข้าถึง อสม. จำนวนมาก ใช้งานผ่านมือถือ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เน้นรายงานงานประจำ ไม่มีทะเบียนครัวเรือน/แผนที่/คะแนนดัชนี</w:t>
            </w:r>
          </w:p>
        </w:tc>
        <w:tc>
          <w:tcPr>
            <w:tcW w:type="dxa" w:w="19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ใช้เป็นช่องทางแจ้งเตือนเสริม (roadmap LINE Notify)</w:t>
            </w:r>
          </w:p>
        </w:tc>
      </w:tr>
      <w:tr>
        <w:tc>
          <w:tcPr>
            <w:tcW w:type="dxa" w:w="23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เว็บไซต์/ระบบสารบรรณ อปท. ทั่วไป</w:t>
            </w:r>
          </w:p>
        </w:tc>
        <w:tc>
          <w:tcPr>
            <w:tcW w:type="dxa" w:w="32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ราคาถูก (~8,000–29,000 บาท/ปี) ตรงตามเกณฑ์ ITA/LPA</w:t>
            </w:r>
          </w:p>
        </w:tc>
        <w:tc>
          <w:tcPr>
            <w:tcW w:type="dxa" w:w="25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เป็นเว็บไซต์ประชาสัมพันธ์ ไม่ใช่ระบบบริหารข้อมูลปฏิบัติการ</w:t>
            </w:r>
          </w:p>
        </w:tc>
        <w:tc>
          <w:tcPr>
            <w:tcW w:type="dxa" w:w="19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ใช้เป็นจุดอ้างอิงราคาที่ อบต. คุ้นเคย แต่ส่งมอบคุณค่าสูงกว่ามาก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595959"/>
          <w:sz w:val="21"/>
          <w:szCs w:val="21"/>
        </w:rPr>
        <w:t xml:space="preserve">ราคาเว็บไซต์ อปท. อ้างอิงจากผู้ให้บริการ localgov.in.th (แพ็กเกจ Start–Advance ปีละ 8,000–29,000 บาท รวมภาษีมูลค่าเพิ่ม) ใช้เป็นจุดอ้างอิงงบประมาณที่ อบต. คุ้นเคยเท่านั้น มิใช่คู่แข่งโดยตรง</w:t>
      </w: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0F766E"/>
          <w:sz w:val="26"/>
          <w:szCs w:val="26"/>
        </w:rPr>
        <w:t xml:space="preserve">จุดต่างเชิงกลยุทธ์ 3 ข้อ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บูรณาการ ไม่ใช่แยกส่วน — รวมครัวเรือน สุขภาพ เศรษฐกิจ ปัญหาชุมชน ไว้ในฐานข้อมูลเดียวที่อัปเดตต่อเนื่อง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ดัชนีวัดผล (VHI) ที่ตรวจสอบย้อนกลับได้ — ให้ตัวเลขชัดเจนสำหรับการจัดสรรงบประมาณ ต่างจากการประเมินเชิงคุณภาพแบบเดิม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ออกแบบเพื่อผู้ใช้งานที่ไม่มีพื้นฐาน IT — ต่างจากระบบราชการส่วนกลางที่มักออกแบบเพื่อเจ้าหน้าที่เฉพาะทาง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6. แผนการดำเนินงานปีที่ 1: นำร่องระดับจังหวัด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4"/>
          <w:szCs w:val="24"/>
        </w:rPr>
        <w:t xml:space="preserve">ปีที่ 1 มุ่งพิสูจน์แนวคิดและโมเดลธุรกิจในพื้นที่นำร่อง 1 จังหวัด (จังหวัดขนาดกลางโดยเฉลี่ยมีประมาณ 8–10 อำเภอ 90–100 ตำบล 70 อบต. และเกือบ 1,000 หมู่บ้าน) โดยแบ่งการดำเนินงานเป็น 4 ไตรมาส: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4506"/>
        <w:gridCol w:w="19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ไตรมาส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หัวข้อหลัก</w:t>
            </w:r>
          </w:p>
        </w:tc>
        <w:tc>
          <w:tcPr>
            <w:tcW w:type="dxa" w:w="450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กิจกรรมสำคัญ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ผลลัพธ์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Q1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เตรียมความพร้อม</w:t>
            </w:r>
          </w:p>
        </w:tc>
        <w:tc>
          <w:tcPr>
            <w:tcW w:type="dxa" w:w="45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จดทะเบียนนิติบุคคล (หากยังไม่มี) จัดทำ MOU กับจังหวัด/อบต. นำร่อง 3–5 แห่งแรก จัดทำนโยบายคุ้มครองข้อมูลส่วนบุคคล (PDPA) และแผนความปลอดภัยข้อมูล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MOU ลงนาม + เอกสาร PDPA พร้อม</w:t>
            </w:r>
          </w:p>
        </w:tc>
      </w:tr>
      <w:tr>
        <w:tc>
          <w:tcPr>
            <w:tcW w:type="dxa" w:w="14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Q2</w:t>
            </w:r>
          </w:p>
        </w:tc>
        <w:tc>
          <w:tcPr>
            <w:tcW w:type="dxa" w:w="21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พัฒนาและนำเข้าข้อมูล</w:t>
            </w:r>
          </w:p>
        </w:tc>
        <w:tc>
          <w:tcPr>
            <w:tcW w:type="dxa" w:w="45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ปรับระบบตาม feedback พื้นที่จริง นำเข้า/ย้ายข้อมูลครัวเรือนจริง อบรมผู้ดูแลระบบระดับตำบล</w:t>
            </w:r>
          </w:p>
        </w:tc>
        <w:tc>
          <w:tcPr>
            <w:tcW w:type="dxa" w:w="19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ตำบลนำร่อง 15–20 แห่งใช้งานจริง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Q3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ขยายผลเต็มจังหวัด</w:t>
            </w:r>
          </w:p>
        </w:tc>
        <w:tc>
          <w:tcPr>
            <w:tcW w:type="dxa" w:w="45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ขยายสู่ 50–70 ตำบลในจังหวัด เก็บตัวชี้วัดการใช้งาน (active users, VHI coverage) เริ่มเก็บค่าสมาชิกจาก early adopters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50–70 ตำบลใช้งาน / เริ่มมีรายได้ตรง</w:t>
            </w:r>
          </w:p>
        </w:tc>
      </w:tr>
      <w:tr>
        <w:tc>
          <w:tcPr>
            <w:tcW w:type="dxa" w:w="14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Q4</w:t>
            </w:r>
          </w:p>
        </w:tc>
        <w:tc>
          <w:tcPr>
            <w:tcW w:type="dxa" w:w="21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สรุปผลและขยายทุน</w:t>
            </w:r>
          </w:p>
        </w:tc>
        <w:tc>
          <w:tcPr>
            <w:tcW w:type="dxa" w:w="45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จัดทำรายงานผลลัพธ์/กรณีศึกษา (case study) วัด ROI เชิงพื้นที่ เตรียมข้อเสนอทุนระยะที่ 2</w:t>
            </w:r>
          </w:p>
        </w:tc>
        <w:tc>
          <w:tcPr>
            <w:tcW w:type="dxa" w:w="19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รายงานผล + ข้อเสนอทุนปีที่ 2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0F766E"/>
          <w:sz w:val="26"/>
          <w:szCs w:val="26"/>
        </w:rPr>
        <w:t xml:space="preserve">ตัวชี้วัดความสำเร็จปีที่ 1 (KPI)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จำนวนตำบลที่ใช้งานระบบต่อเนื่อง ≥ 3 เดือน: เป้าหมาย 50 ตำบล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อัตราการบันทึกข้อมูลสุขภาพครัวเรือนภายใน 6 เดือน (input ของ VHI): เป้าหมาย ≥ 60% ของครัวเรือนในตำบลนำร่อง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อัตราการแปลงจากผู้ใช้ทดลอง (pilot ฟรี) เป็นผู้ใช้ที่ยินดีจ่ายเมื่อสิ้นสุดทุน: เป้าหมาย ≥ 20%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จำนวนกรณีเยี่ยมบ้านกลุ่มเสี่ยงที่เกิดจากการแจ้งเตือนของระบบ: เก็บเป็นหลักฐานผลลัพธ์เชิงสังคม (impact)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7. โมเดลรายได้และราคาโดยละเอียด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4"/>
          <w:szCs w:val="24"/>
        </w:rPr>
        <w:t xml:space="preserve">ออกแบบเป็นโครงสร้าง Freemium + Subscription รายปี ที่จับคู่กับหน่วยจัดซื้อจริงของราชการ (อบต./เทศบาลตำบล) และเปิดทางให้ผู้นำชุมชนรายย่อยทดลองใช้ฟรีก่อนตัดสินใจ พร้อมกลไก "สะพานทุน" (grant-subsidized bridge) ที่ใช้เงินทุนวิจัย/นวัตกรรมออกค่าใช้จ่ายแทนลูกค้าในปีนำร่อง</w:t>
      </w: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0F766E"/>
          <w:sz w:val="26"/>
          <w:szCs w:val="26"/>
        </w:rPr>
        <w:t xml:space="preserve">7.1 โครงสร้างแพ็กเกจ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406"/>
        <w:gridCol w:w="290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แพ็กเกจ</w:t>
            </w:r>
          </w:p>
        </w:tc>
        <w:tc>
          <w:tcPr>
            <w:tcW w:type="dxa" w:w="20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ราคา</w:t>
            </w:r>
          </w:p>
        </w:tc>
        <w:tc>
          <w:tcPr>
            <w:tcW w:type="dxa" w:w="340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ขอบเขต/เงื่อนไข</w:t>
            </w:r>
          </w:p>
        </w:tc>
        <w:tc>
          <w:tcPr>
            <w:tcW w:type="dxa" w:w="29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ฟีเจอร์หลัก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Free
(Community)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0 บาท</w:t>
            </w:r>
          </w:p>
        </w:tc>
        <w:tc>
          <w:tcPr>
            <w:tcW w:type="dxa" w:w="34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1 หมู่บ้าน / สูงสุด 100 ครัวเรือน สมัครเองผ่านเว็บ ไม่มี SLA สนับสนุน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ทะเบียนครัวเรือน/บุคคลพื้นฐาน แจ้งปัญหาชุมชน รายงานเบื้องต้น</w:t>
            </w:r>
          </w:p>
        </w:tc>
      </w:tr>
      <w:tr>
        <w:tc>
          <w:tcPr>
            <w:tcW w:type="dxa" w:w="16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Tambon Standard</w:t>
            </w:r>
          </w:p>
        </w:tc>
        <w:tc>
          <w:tcPr>
            <w:tcW w:type="dxa" w:w="20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24,000–48,000 บาท/ปี ตามขนาดประชากรตำบล (เล็ก &lt;3,000 / กลาง 3,000–8,000 / ใหญ่ &gt;8,000 คน)</w:t>
            </w:r>
          </w:p>
        </w:tc>
        <w:tc>
          <w:tcPr>
            <w:tcW w:type="dxa" w:w="34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ต่อ 1 อบต./เทศบาลตำบล ครอบคลุมทุกหมู่บ้านในตำบล ไม่จำกัดครัวเรือน</w:t>
            </w:r>
          </w:p>
        </w:tc>
        <w:tc>
          <w:tcPr>
            <w:tcW w:type="dxa" w:w="29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ทุกโมดูลหลัก + VHI + GIS + สิทธิ์ผู้ใช้ไม่จำกัด + สนับสนุนทาง LINE/อีเมล + อบรมออนไลน์ 1 ครั้ง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Tambon Plus
(Add-on ประปา)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+8,000–15,000 บาท/ปี ต่อระบบประปา 1 ระบบ</w:t>
            </w:r>
          </w:p>
        </w:tc>
        <w:tc>
          <w:tcPr>
            <w:tcW w:type="dxa" w:w="34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เสริมจาก Tambon Standard เท่านั้น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ตั้งอัตราค่าน้ำ ออกบิล บันทึก/ติดตามการชำระเงิน</w:t>
            </w:r>
          </w:p>
        </w:tc>
      </w:tr>
      <w:tr>
        <w:tc>
          <w:tcPr>
            <w:tcW w:type="dxa" w:w="16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District/Provincial Dashboard</w:t>
            </w:r>
          </w:p>
        </w:tc>
        <w:tc>
          <w:tcPr>
            <w:tcW w:type="dxa" w:w="20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50,000 บาท/ปี ต่อหน่วยงาน + 5,000–8,000 บาท ต่อตำบลที่เชื่อมต่อ</w:t>
            </w:r>
          </w:p>
        </w:tc>
        <w:tc>
          <w:tcPr>
            <w:tcW w:type="dxa" w:w="34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สำหรับ สสอ./สสจ./ที่ทำการปกครองอำเภอ/จังหวัด ที่ต้องการภาพรวมข้ามตำบล</w:t>
            </w:r>
          </w:p>
        </w:tc>
        <w:tc>
          <w:tcPr>
            <w:tcW w:type="dxa" w:w="29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แดชบอร์ดสรุปผล VHI และตัวชี้วัดข้ามพื้นที่ รายงานเชิงนโยบาย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ค่าเริ่มต้นใช้งาน (Onboarding)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8,000–15,000 บาท/ตำบล (ครั้งเดียว)</w:t>
            </w:r>
          </w:p>
        </w:tc>
        <w:tc>
          <w:tcPr>
            <w:tcW w:type="dxa" w:w="34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รวมการนำเข้าข้อมูลเดิม + อบรมเจ้าหน้าที่หน้างาน — ยกเว้นให้ในพื้นที่นำร่องที่ได้รับทุน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ทีมงานลงพื้นที่/อบรมออนไลน์ตามความเหมาะสม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595959"/>
          <w:sz w:val="21"/>
          <w:szCs w:val="21"/>
        </w:rPr>
        <w:t xml:space="preserve">ราคาเป็นตัวเลขตั้งต้นสำหรับพิสูจน์แนวคิด (hypothesis) อ้างอิงจากงบเว็บไซต์ อปท. ทั่วไปที่ อบต. คุ้นเคย (8,000–29,000 บาท/ปี) บวกส่วนต่างมูลค่าเพิ่มจากฟีเจอร์ปฏิบัติการ ควรปรับตามข้อมูลความยินดีจ่ายจริง (willingness-to-pay) ที่เก็บได้จากพื้นที่นำร่องในปีที่ 1</w:t>
      </w: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0F766E"/>
          <w:sz w:val="26"/>
          <w:szCs w:val="26"/>
        </w:rPr>
        <w:t xml:space="preserve">7.2 กลไกสะพานทุน (Grant-Subsidized Bridge)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ปีที่ 1 (ได้รับทุนวิจัย/นวัตกรรม): ตำบลนำร่องใช้งานฟรีทั้งหมด — เงินทุนที่ได้รับทำหน้าที่แทนค่าสมัครสมาชิกและค่าเริ่มต้นใช้งาน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ปีที่ 2 (หมดระยะทุน): เสนอส่วนลด renewal 30–50% ในปีแรกหลังพ้นช่วงนำร่อง เพื่อจูงใจการแปลงเป็นลูกค้าที่จ่ายเงินจริง พร้อมนำเสนอผลลัพธ์ VHI ที่วัดได้จริงเป็นหลักฐาน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ปีที่ 3 เป็นต้นไป: เรียกเก็บราคาเต็มตามแพ็กเกจ พร้อมส่วนลดสำหรับสัญญาระยะยาว (ผูกพัน 3 ปี ลด 10%)</w:t>
      </w: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0F766E"/>
          <w:sz w:val="26"/>
          <w:szCs w:val="26"/>
        </w:rPr>
        <w:t xml:space="preserve">7.3 หน่วยเศรษฐศาสตร์ (Unit Economics) โดยประมาณ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6"/>
        <w:gridCol w:w="3300"/>
      </w:tblGrid>
      <w:tr>
        <w:trPr>
          <w:tblHeader/>
        </w:trPr>
        <w:tc>
          <w:tcPr>
            <w:tcW w:type="dxa" w:w="33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รายการ</w:t>
            </w:r>
          </w:p>
        </w:tc>
        <w:tc>
          <w:tcPr>
            <w:tcW w:type="dxa" w:w="330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สมมติฐาน</w:t>
            </w:r>
          </w:p>
        </w:tc>
        <w:tc>
          <w:tcPr>
            <w:tcW w:type="dxa" w:w="33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หมายเหตุ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ต้นทุนโครงสร้างพื้นฐานต่อปี (ระดับ 50–70 ตำบล)</w:t>
            </w:r>
          </w:p>
        </w:tc>
        <w:tc>
          <w:tcPr>
            <w:tcW w:type="dxa" w:w="3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50,000–100,000 บาท/ปี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VPS + PostgreSQL + พื้นที่เก็บรูปภาพ ยังไม่รวมค่าพัฒนา R&amp;D</w:t>
            </w:r>
          </w:p>
        </w:tc>
      </w:tr>
      <w:tr>
        <w:tc>
          <w:tcPr>
            <w:tcW w:type="dxa" w:w="33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กำลังคนสนับสนุน/อบรม</w:t>
            </w:r>
          </w:p>
        </w:tc>
        <w:tc>
          <w:tcPr>
            <w:tcW w:type="dxa" w:w="33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1 คน ดูแลได้ประมาณ 40–60 ตำบล</w:t>
            </w:r>
          </w:p>
        </w:tc>
        <w:tc>
          <w:tcPr>
            <w:tcW w:type="dxa" w:w="33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ต้นทุนหลักคือบุคลากร ไม่ใช่โครงสร้างพื้นฐาน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รายได้เฉลี่ยต่อตำบลที่จ่ายเงิน (ARPU)</w:t>
            </w:r>
          </w:p>
        </w:tc>
        <w:tc>
          <w:tcPr>
            <w:tcW w:type="dxa" w:w="3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≈ 35,000 บาท/ปี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ค่าเฉลี่ยถ่วงน้ำหนักจากแพ็กเกจ Tambon Standard 3 ขนาด</w:t>
            </w:r>
          </w:p>
        </w:tc>
      </w:tr>
      <w:tr>
        <w:tc>
          <w:tcPr>
            <w:tcW w:type="dxa" w:w="33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เป้าหมาย Gross Margin เมื่อ scale (ปีที่ 3)</w:t>
            </w:r>
          </w:p>
        </w:tc>
        <w:tc>
          <w:tcPr>
            <w:tcW w:type="dxa" w:w="33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55–65%</w:t>
            </w:r>
          </w:p>
        </w:tc>
        <w:tc>
          <w:tcPr>
            <w:tcW w:type="dxa" w:w="33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หลังหักต้นทุน hosting และทีมสนับสนุนลูกค้า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จุดคุ้มทุน (Breakeven) โดยประมาณ</w:t>
            </w:r>
          </w:p>
        </w:tc>
        <w:tc>
          <w:tcPr>
            <w:tcW w:type="dxa" w:w="3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60–70 ตำบลที่จ่ายราคาเต็ม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เทียบกับต้นทุนทีมงานคงที่ (3–4 คน) + โครงสร้างพื้นฐาน ~2.0–2.5 ล้านบาท/ปี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0F766E"/>
          <w:sz w:val="26"/>
          <w:szCs w:val="26"/>
        </w:rPr>
        <w:t xml:space="preserve">7.4 แบบจำลองรายได้ 3 ปี (Revenue Model)</w:t>
      </w:r>
    </w:p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595959"/>
          <w:sz w:val="21"/>
          <w:szCs w:val="21"/>
        </w:rPr>
        <w:t xml:space="preserve">ตัวเลขต่อไปนี้เป็น "แบบจำลองประมาณการ" เพื่อประกอบการวางแผนงบประมาณเท่านั้น ไม่ใช่การรับประกันผลตอบแทน — ค่าอัตราการแปลงลูกค้า (conversion) และอัตราคงอยู่ (retention) ที่แท้จริงจะทราบได้หลังเก็บข้อมูลจากพื้นที่นำร่องปีที่ 1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2100"/>
        <w:gridCol w:w="2006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ปี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ตำบลสะสมที่ใช้งาน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ตำบลที่จ่ายเงินจริง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รายได้ตรงจากลูกค้า</w:t>
            </w:r>
          </w:p>
        </w:tc>
        <w:tc>
          <w:tcPr>
            <w:tcW w:type="dxa" w:w="200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รายได้จากทุนวิจัย/สนับสนุน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ปีที่ 1
(นำร่อง)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~50 ตำบล (1 จังหวัด)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5–10 แห่ง (early adopters)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150,000–300,000 บาท</w:t>
            </w:r>
          </w:p>
        </w:tc>
        <w:tc>
          <w:tcPr>
            <w:tcW w:type="dxa" w:w="20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1,000,000–1,500,000 บาท (ทุน)</w:t>
            </w:r>
          </w:p>
        </w:tc>
      </w:tr>
      <w:tr>
        <w:tc>
          <w:tcPr>
            <w:tcW w:type="dxa" w:w="14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ปีที่ 2
(แปลงลูกค้า + ขยาย 1–2 จังหวัด)</w:t>
            </w:r>
          </w:p>
        </w:tc>
        <w:tc>
          <w:tcPr>
            <w:tcW w:type="dxa" w:w="22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~150 ตำบล</w:t>
            </w:r>
          </w:p>
        </w:tc>
        <w:tc>
          <w:tcPr>
            <w:tcW w:type="dxa" w:w="22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70–90 แห่ง</w:t>
            </w:r>
          </w:p>
        </w:tc>
        <w:tc>
          <w:tcPr>
            <w:tcW w:type="dxa" w:w="21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2,400,000–2,900,000 บาท</w:t>
            </w:r>
          </w:p>
        </w:tc>
        <w:tc>
          <w:tcPr>
            <w:tcW w:type="dxa" w:w="20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แล้วแต่ทุนต่อเนื่องที่ยื่นขอ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ปีที่ 3
(ขยายผลระดับภาค)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~350 ตำบล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200–240 แห่ง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6,600,000–8,000,000 บาท</w:t>
            </w:r>
          </w:p>
        </w:tc>
        <w:tc>
          <w:tcPr>
            <w:tcW w:type="dxa" w:w="20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ลดสัดส่วนพึ่งพาทุน มุ่งพึ่งรายได้ตรง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4"/>
          <w:szCs w:val="24"/>
        </w:rPr>
        <w:t xml:space="preserve">ภายใต้สมมติฐานนี้ โครงการมีแนวโน้มเข้าใกล้จุดคุ้มทุนจากรายได้ตรงในช่วงปลายปีที่ 2 ถึงปีที่ 3 หากอัตราการแปลงลูกค้าจากพื้นที่นำร่องเป็นไปตามเป้า (≥20%) และอัตราการเลิกใช้งาน (churn) อยู่ในระดับต่ำ ทั้งนี้ตัวเลขจริงควรถูกทบทวนทุกไตรมาสจากข้อมูลการใช้งานจริง ไม่ใช่ยึดตามแบบจำลองนี้ตายตัว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8. งบประมาณโครงการและแหล่งทุนที่แนะนำ</w:t>
      </w: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0F766E"/>
          <w:sz w:val="26"/>
          <w:szCs w:val="26"/>
        </w:rPr>
        <w:t xml:space="preserve">8.1 ประมาณการงบประมาณปีที่ 1 (นำร่อง 1 จังหวัด)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00"/>
        <w:gridCol w:w="4206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รายการ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งบประมาณโดยประมาณ</w:t>
            </w:r>
          </w:p>
        </w:tc>
        <w:tc>
          <w:tcPr>
            <w:tcW w:type="dxa" w:w="420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หมายเหตุ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พัฒนาระบบเพิ่มเติม/ปรับปรุงตาม feedback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300,000–450,000 บาท</w:t>
            </w:r>
          </w:p>
        </w:tc>
        <w:tc>
          <w:tcPr>
            <w:tcW w:type="dxa" w:w="42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รวมโมดูลแจ้งเตือน LINE และปรับ UX ตามผู้ใช้จริง</w:t>
            </w:r>
          </w:p>
        </w:tc>
      </w:tr>
      <w:tr>
        <w:tc>
          <w:tcPr>
            <w:tcW w:type="dxa" w:w="36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โครงสร้างพื้นฐาน/โฮสติ้ง (คลาวด์ที่ได้มาตรฐานภาครัฐ)</w:t>
            </w:r>
          </w:p>
        </w:tc>
        <w:tc>
          <w:tcPr>
            <w:tcW w:type="dxa" w:w="21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80,000–120,000 บาท</w:t>
            </w:r>
          </w:p>
        </w:tc>
        <w:tc>
          <w:tcPr>
            <w:tcW w:type="dxa" w:w="42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ควรพิจารณา GDCC หรือคลาวด์ที่ผ่านมาตรฐานความมั่นคงปลอดภัยไซเบอร์ภาครัฐ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การอบรมและลงพื้นที่ 50–70 ตำบล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250,000–400,000 บาท</w:t>
            </w:r>
          </w:p>
        </w:tc>
        <w:tc>
          <w:tcPr>
            <w:tcW w:type="dxa" w:w="42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ค่าเดินทาง วัสดุอบรม ค่าตอบแทนวิทยากร</w:t>
            </w:r>
          </w:p>
        </w:tc>
      </w:tr>
      <w:tr>
        <w:tc>
          <w:tcPr>
            <w:tcW w:type="dxa" w:w="36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จัดทำนโยบาย PDPA/ความปลอดภัยข้อมูล + ตรวจสอบ</w:t>
            </w:r>
          </w:p>
        </w:tc>
        <w:tc>
          <w:tcPr>
            <w:tcW w:type="dxa" w:w="21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80,000–150,000 บาท</w:t>
            </w:r>
          </w:p>
        </w:tc>
        <w:tc>
          <w:tcPr>
            <w:tcW w:type="dxa" w:w="42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รวมการทำ DPIA (Data Protection Impact Assessment)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บริหารจัดการโครงการ/ติดตามประเมินผล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150,000–250,000 บาท</w:t>
            </w:r>
          </w:p>
        </w:tc>
        <w:tc>
          <w:tcPr>
            <w:tcW w:type="dxa" w:w="42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รวมการจัดทำรายงานกรณีศึกษาและ KPI</w:t>
            </w:r>
          </w:p>
        </w:tc>
      </w:tr>
      <w:tr>
        <w:tc>
          <w:tcPr>
            <w:tcW w:type="dxa" w:w="36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รวมโดยประมาณ</w:t>
            </w:r>
          </w:p>
        </w:tc>
        <w:tc>
          <w:tcPr>
            <w:tcW w:type="dxa" w:w="21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860,000–1,370,000 บาท</w:t>
            </w:r>
          </w:p>
        </w:tc>
        <w:tc>
          <w:tcPr>
            <w:tcW w:type="dxa" w:w="42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อยู่ในกรอบเพดานทุน NIA (1.5 ล้านบาท/โครงการ)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595959"/>
          <w:sz w:val="21"/>
          <w:szCs w:val="21"/>
        </w:rPr>
        <w:t xml:space="preserve">หมายเหตุ: หากยื่นขอทุน NIA ผู้ขอต้องแสดงค่าใช้จ่ายร่วมสมทบฝ่ายเอกชนไม่ต่ำกว่า 25% ของมูลค่าโครงการ และเบิกจ่ายแบบ reimbursement (สำรองจ่ายก่อนแล้วเบิกคืน) — ควรวางแผนกระแสเงินสดสำรองให้เพียงพอ</w:t>
      </w: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0F766E"/>
          <w:sz w:val="26"/>
          <w:szCs w:val="26"/>
        </w:rPr>
        <w:t xml:space="preserve">8.2 แหล่งทุนที่แนะนำให้พิจารณายื่นขอ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900"/>
        <w:gridCol w:w="2406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หน่วยงาน/ทุน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ลักษณะทุน</w:t>
            </w:r>
          </w:p>
        </w:tc>
        <w:tc>
          <w:tcPr>
            <w:tcW w:type="dxa" w:w="29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เงื่อนไขสำคัญ</w:t>
            </w:r>
          </w:p>
        </w:tc>
        <w:tc>
          <w:tcPr>
            <w:tcW w:type="dxa" w:w="240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ความเหมาะสม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NIA — City &amp; Community Innovation Challenge / Social Innovation Fund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ทุนอุดหนุนสูงสุด 1,500,000 บาท/โครงการ (reimbursement)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ผู้ขอต้องเป็นนิติบุคคลจดทะเบียนในไทย (บริษัท/หจก./วิสาหกิจชุมชน/สหกรณ์) ร่วมสมทบเอกชน ≥25% ต้องมีหลักฐานความร่วมมือกับพื้นที่/ชุมชน</w:t>
            </w:r>
          </w:p>
        </w:tc>
        <w:tc>
          <w:tcPr>
            <w:tcW w:type="dxa" w:w="24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เหมาะที่สุดกับงบปีที่ 1 — ตรงขนาดโครงการพอดี แต่ต้องเช็ครอบรับสมัครล่าสุด (รอบปีงบ 2569 ปิดรับ ธ.ค. 2568 แล้ว)</w:t>
            </w:r>
          </w:p>
        </w:tc>
      </w:tr>
      <w:tr>
        <w:tc>
          <w:tcPr>
            <w:tcW w:type="dxa" w:w="22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บพท. (PMU-A) — โปรแกรมเมืองน่าอยู่ที่ชาญฉลาด</w:t>
            </w:r>
          </w:p>
        </w:tc>
        <w:tc>
          <w:tcPr>
            <w:tcW w:type="dxa" w:w="24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ทุนวิจัยเชิงพื้นที่ ยื่นผ่านระบบ NRIIS</w:t>
            </w:r>
          </w:p>
        </w:tc>
        <w:tc>
          <w:tcPr>
            <w:tcW w:type="dxa" w:w="29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ต้องร่วมมือกับ อปท. ระดับเทศบาลเมืองขึ้นไป และมีสถาบันวิจัย/มหาวิทยาลัยเป็นผู้ยื่นหลักหรือร่วมยื่น วงเงินไม่เปิดเผยตายตัว ต้องสอบถามตรง</w:t>
            </w:r>
          </w:p>
        </w:tc>
        <w:tc>
          <w:tcPr>
            <w:tcW w:type="dxa" w:w="24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เหมาะเป็นพันธมิตรขยายผลปีที่ 2–3 ระดับเทศบาลเมือง/จังหวัด มากกว่าปีที่ 1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depa — OTOD (One Tambon One Digital) / Digital Transformation Fund / Digital Startup Fund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หลายกลไกสำหรับผู้ประกอบการดิจิทัลและชุมชน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รายละเอียดวงเงินไม่เปิดเผยชัดในหน้าเว็บ ต้องติดต่อฝ่าย Digital Service โดยตรง</w:t>
            </w:r>
          </w:p>
        </w:tc>
        <w:tc>
          <w:tcPr>
            <w:tcW w:type="dxa" w:w="24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เหมาะเป็นช่องทางเสริมด้าน digital transformation สำหรับ อบต. โดยเฉพาะ</w:t>
            </w:r>
          </w:p>
        </w:tc>
      </w:tr>
      <w:tr>
        <w:tc>
          <w:tcPr>
            <w:tcW w:type="dxa" w:w="22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สสส. (สำนักงานกองทุนสนับสนุนการสร้างเสริมสุขภาพ)</w:t>
            </w:r>
          </w:p>
        </w:tc>
        <w:tc>
          <w:tcPr>
            <w:tcW w:type="dxa" w:w="24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ทุน/ความร่วมมือเชิงวิชาการด้านสุขภาพชุมชน</w:t>
            </w:r>
          </w:p>
        </w:tc>
        <w:tc>
          <w:tcPr>
            <w:tcW w:type="dxa" w:w="29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มักสนับสนุนผ่านโครงการ/ภาคีวิจัยสุขภาพ มากกว่าการให้ทุนซอฟต์แวร์โดยตรง</w:t>
            </w:r>
          </w:p>
        </w:tc>
        <w:tc>
          <w:tcPr>
            <w:tcW w:type="dxa" w:w="24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เหมาะเป็นพันธมิตรด้านเนื้อหา/ความน่าเชื่อถือด้านสุขภาพ มากกว่าผู้ให้ทุนหลัก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595959"/>
          <w:sz w:val="21"/>
          <w:szCs w:val="21"/>
        </w:rPr>
        <w:t xml:space="preserve">ข้อมูลวงเงินและเงื่อนไขเปลี่ยนแปลงได้ในแต่ละรอบปีงบประมาณ ผู้จัดทำควรตรวจสอบประกาศล่าสุดจากเว็บไซต์ทางการของแต่ละหน่วยงานก่อนยื่นจริงทุกครั้ง (ดูลิงก์อ้างอิงท้ายเล่ม)</w:t>
      </w: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0F766E"/>
          <w:sz w:val="26"/>
          <w:szCs w:val="26"/>
        </w:rPr>
        <w:t xml:space="preserve">8.3 ข้อกำหนดเบื้องต้นก่อนยื่นขอทุน (checklist)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จดทะเบียนนิติบุคคล (บริษัท/หจก./วิสาหกิจชุมชน) หากยังไม่มี — เป็นเงื่อนไขบังคับของ NIA และทุนส่วนใหญ่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เตรียมหนังสือรับรองความร่วมมือ (MOU) จาก อบต./จังหวัดนำร่องอย่างน้อย 1 แห่ง เป็นหลักฐานว่ามีพื้นที่ทดลองจริง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จัดทำเอกสารนโยบายคุ้มครองข้อมูลส่วนบุคคล (PDPA) โดยเฉพาะข้อมูลสุขภาพและรายได้ ซึ่งเป็นข้อมูลอ่อนไหวตามกฎหมาย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เตรียมประวัติ/ผลงานทีมผู้พัฒนา (portfolio) — ผู้จัดทำโปรดกรอกข้อมูลทีมงานในบทที่ 10 ให้ครบก่อนยื่นจริง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9. แผนความยั่งยืนหลังหมดระยะทุน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4"/>
          <w:szCs w:val="24"/>
        </w:rPr>
        <w:t xml:space="preserve">เพื่อให้โครงการดำเนินต่อได้โดยไม่ต้องพึ่งพาทุนสนับสนุนตลอดไป วางกลยุทธ์ความยั่งยืนไว้ดังนี้: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รายได้ subscription ต่อเนื่อง — เมื่อพ้นช่วงนำร่อง อบต. ที่พอใจผลลัพธ์จะเปลี่ยนเป็นลูกค้าจ่ายเงินตามแพ็กเกจ Tambon Standard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โมดูลเสริมสร้างรายได้เพิ่ม — เช่น ระบบค่าน้ำประปา (Tambon Plus) และ Dashboard ระดับอำเภอ/จังหวัด ซึ่งมีมูลค่าเพิ่มชัดเจนและกลุ่มลูกค้าต่างจาก subscription หลัก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ทุนวิจัย/นวัตกรรมระยะต่อเนื่อง — ใช้ผลลัพธ์และกรณีศึกษาจากปีที่ 1 เป็นหลักฐานยื่นขอทุนขยายผล (scale-up) จากหน่วยงานเดิมหรือหน่วยงานใหม่ เช่น กองทุนพัฒนาดิจิทัลเพื่อเศรษฐกิจและสังคม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พันธมิตรช่องทางจัดจำหน่าย — ร่วมมือกับผู้ให้บริการ IT ท้องถิ่นที่มีความสัมพันธ์กับ อบต. อยู่แล้ว เพื่อลดต้นทุนการเข้าถึงลูกค้าใหม่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การควบคุมต้นทุนโครงสร้างพื้นฐานต่อหน่วย (unit cost) ให้ลดลงเมื่อ scale ขึ้น ผ่านสถาปัตยกรรม multi-tenant ที่ใช้ทรัพยากรร่วมกันอย่างมีประสิทธิภาพ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10. ทีมงานและศักยภาพในการดำเนินโครงการ</w:t>
      </w:r>
    </w:p>
    <w:p>
      <w:pPr>
        <w:shd w:fill="FDEDED" w:color="auto" w:val="clear"/>
        <w:spacing w:after="160"/>
      </w:pPr>
      <w:r>
        <w:rPr>
          <w:rFonts w:ascii="TH Sarabun New" w:cs="TH Sarabun New" w:eastAsia="TH Sarabun New" w:hAnsi="TH Sarabun New"/>
          <w:b/>
          <w:bCs/>
          <w:color w:val="B42318"/>
          <w:sz w:val="23"/>
          <w:szCs w:val="23"/>
        </w:rPr>
        <w:t xml:space="preserve">ส่วนนี้ต้องกรอกโดยผู้จัดทำก่อนยื่นทุนจริง — ข้อมูลทีมงาน ประวัติ และผลงานเป็นเกณฑ์การพิจารณาสำคัญของทุกแหล่งทุนที่กล่าวถึงในบทที่ 8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6"/>
        <w:gridCol w:w="40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ตำแหน่ง</w:t>
            </w:r>
          </w:p>
        </w:tc>
        <w:tc>
          <w:tcPr>
            <w:tcW w:type="dxa" w:w="350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หัวข้อที่ต้องกรอก</w:t>
            </w:r>
          </w:p>
        </w:tc>
        <w:tc>
          <w:tcPr>
            <w:tcW w:type="dxa" w:w="40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ตัวอย่างประเด็นที่ผู้พิจารณาทุนมองหา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หัวหน้าโครงการ (PI)</w:t>
            </w:r>
          </w:p>
        </w:tc>
        <w:tc>
          <w:tcPr>
            <w:tcW w:type="dxa" w:w="35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ชื่อ-สกุล วุฒิการศึกษา ประสบการณ์ที่เกี่ยวข้อง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ความเชี่ยวชาญด้านเทคโนโลยี/สาธารณสุข/ชุมชน ผลงานที่ผ่านมา</w:t>
            </w:r>
          </w:p>
        </w:tc>
      </w:tr>
      <w:tr>
        <w:tc>
          <w:tcPr>
            <w:tcW w:type="dxa" w:w="24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ทีมพัฒนาเทคนิค</w:t>
            </w:r>
          </w:p>
        </w:tc>
        <w:tc>
          <w:tcPr>
            <w:tcW w:type="dxa" w:w="35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จำนวนคน ทักษะ (backend/frontend/data)</w:t>
            </w:r>
          </w:p>
        </w:tc>
        <w:tc>
          <w:tcPr>
            <w:tcW w:type="dxa" w:w="40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ความสามารถส่งมอบและดูแลระบบต่อเนื่องหลังทุนหมด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ทีมภาคสนาม/BD</w:t>
            </w:r>
          </w:p>
        </w:tc>
        <w:tc>
          <w:tcPr>
            <w:tcW w:type="dxa" w:w="35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ผู้รับผิดชอบประสานงานพื้นที่นำร่อง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เครือข่ายความสัมพันธ์กับ อบต./จังหวัดเป้าหมาย</w:t>
            </w:r>
          </w:p>
        </w:tc>
      </w:tr>
      <w:tr>
        <w:tc>
          <w:tcPr>
            <w:tcW w:type="dxa" w:w="24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นิติบุคคล</w:t>
            </w:r>
          </w:p>
        </w:tc>
        <w:tc>
          <w:tcPr>
            <w:tcW w:type="dxa" w:w="35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ชื่อบริษัท/หจก. เลขทะเบียน วันจดทะเบียน</w:t>
            </w:r>
          </w:p>
        </w:tc>
        <w:tc>
          <w:tcPr>
            <w:tcW w:type="dxa" w:w="40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สถานะทางกฎหมายที่ทุนส่วนใหญ่กำหนดเป็นเงื่อนไขบังคับ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11. ความเสี่ยงและแนวทางบริหารความเสี่ยง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006"/>
        <w:gridCol w:w="29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ความเสี่ยง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ระดับผลกระทบ</w:t>
            </w:r>
          </w:p>
        </w:tc>
        <w:tc>
          <w:tcPr>
            <w:tcW w:type="dxa" w:w="300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แนวทางบริหารจัดการ</w:t>
            </w:r>
          </w:p>
        </w:tc>
        <w:tc>
          <w:tcPr>
            <w:tcW w:type="dxa" w:w="29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ผู้รับผิดชอบ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อัตราการแปลงจากผู้ใช้ทดลองเป็นผู้จ่ายเงินต่ำกว่าคาด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สูง</w:t>
            </w:r>
          </w:p>
        </w:tc>
        <w:tc>
          <w:tcPr>
            <w:tcW w:type="dxa" w:w="30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ตั้งราคาต่ำกว่าต้นทุนแรงงานที่ อบต. เสียไปกับกระบวนการกระดาษ/สเปรดชีตเดิม เก็บ testimonial ตั้งแต่ pilot เพื่อสร้างความน่าเชื่อถือ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ทีม BD/การตลาด</w:t>
            </w:r>
          </w:p>
        </w:tc>
      </w:tr>
      <w:tr>
        <w:tc>
          <w:tcPr>
            <w:tcW w:type="dxa" w:w="24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วงจรงบประมาณและการจัดซื้อจัดจ้างภาครัฐล่าช้า</w:t>
            </w:r>
          </w:p>
        </w:tc>
        <w:tc>
          <w:tcPr>
            <w:tcW w:type="dxa" w:w="16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สูง</w:t>
            </w:r>
          </w:p>
        </w:tc>
        <w:tc>
          <w:tcPr>
            <w:tcW w:type="dxa" w:w="30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จับคู่รอบสมัครสมาชิกให้ตรงกับต้นปีงบประมาณ (ตุลาคม) เตรียมเอกสาร TOR/ใบเสนอราคาให้พร้อมล่วงหน้า</w:t>
            </w:r>
          </w:p>
        </w:tc>
        <w:tc>
          <w:tcPr>
            <w:tcW w:type="dxa" w:w="29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ทีมบริหารโครงการ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คู่แข่งเป็นระบบราชการที่บังคับใช้อยู่แล้ว (จปฐ., JHCIS)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ปานกลาง</w:t>
            </w:r>
          </w:p>
        </w:tc>
        <w:tc>
          <w:tcPr>
            <w:tcW w:type="dxa" w:w="30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วางตำแหน่งเป็นระบบเสริม ออกแบบให้นำเข้า/เชื่อมข้อมูลจากระบบเดิมได้ ลดภาระกรอกซ้ำ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ทีมผลิตภัณฑ์</w:t>
            </w:r>
          </w:p>
        </w:tc>
      </w:tr>
      <w:tr>
        <w:tc>
          <w:tcPr>
            <w:tcW w:type="dxa" w:w="24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ความอ่อนไหวของข้อมูลสุขภาพ/รายได้ และข้อกำหนด PDPA</w:t>
            </w:r>
          </w:p>
        </w:tc>
        <w:tc>
          <w:tcPr>
            <w:tcW w:type="dxa" w:w="16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สูง</w:t>
            </w:r>
          </w:p>
        </w:tc>
        <w:tc>
          <w:tcPr>
            <w:tcW w:type="dxa" w:w="30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จัดทำนโยบายคุ้มครองข้อมูล ทำ DPIA พิจารณาใช้คลาวด์มาตรฐานภาครัฐ (GDCC) จำกัดสิทธิ์เข้าถึงตามบทบาท</w:t>
            </w:r>
          </w:p>
        </w:tc>
        <w:tc>
          <w:tcPr>
            <w:tcW w:type="dxa" w:w="29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ทีมเทคนิค/กฎหมาย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บุคลากรในพื้นที่หมุนเวียน (นายก อบต./ผู้ใหญ่บ้านเปลี่ยนวาระ)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ปานกลาง</w:t>
            </w:r>
          </w:p>
        </w:tc>
        <w:tc>
          <w:tcPr>
            <w:tcW w:type="dxa" w:w="30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ออกแบบ UX ให้ใช้งานง่าย ลดการพึ่งพาตัวบุคคล กำหนดให้มีผู้ดูแลระบบสำรองมากกว่า 1 คนต่อพื้นที่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ทีมอบรม/สนับสนุน</w:t>
            </w:r>
          </w:p>
        </w:tc>
      </w:tr>
      <w:tr>
        <w:tc>
          <w:tcPr>
            <w:tcW w:type="dxa" w:w="24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ทีมงานขนาดเล็ก (key-person risk)</w:t>
            </w:r>
          </w:p>
        </w:tc>
        <w:tc>
          <w:tcPr>
            <w:tcW w:type="dxa" w:w="16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ปานกลาง</w:t>
            </w:r>
          </w:p>
        </w:tc>
        <w:tc>
          <w:tcPr>
            <w:tcW w:type="dxa" w:w="30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ใช้งบทุนส่วนหนึ่งขยายทีมตามแผนงบประมาณ (บทที่ 8.1) และจัดทำคู่มือปฏิบัติงานเพื่อลดการพึ่งพารายบุคคล</w:t>
            </w:r>
          </w:p>
        </w:tc>
        <w:tc>
          <w:tcPr>
            <w:tcW w:type="dxa" w:w="29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หัวหน้าโครงการ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12. แผนงานปีถัดไป (Roadmap ปีที่ 2–3)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ปีที่ 2: แปลงลูกค้าพื้นที่นำร่องเป็นผู้จ่ายเงินจริง พร้อมขยายผลสู่ 1–2 จังหวัดใหม่ เปิดใช้งานโมดูลแจ้งเตือน LINE Notification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ปีที่ 2–3: พัฒนาโมดูลพยากรณ์ความเสี่ยงด้วย AI จากข้อมูลสุขภาพสะสม เพื่อเพิ่มมูลค่าให้แพ็กเกจระดับอำเภอ/จังหวัด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ปีที่ 3: ขยายผลระดับภาค (3–5 จังหวัด) พร้อมเจรจาความร่วมมือระดับนโยบายกับกรมส่งเสริมการปกครองท้องถิ่นและกระทรวงสาธารณสุขเพื่อบูรณาการข้อมูลกับระบบราชการที่เกี่ยวข้อง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พิจารณายื่นขอมาตรฐานความปลอดภัยไซเบอร์ภาครัฐ/ขึ้นทะเบียนผู้ให้บริการคลาวด์ที่ได้รับการรับรอง เพื่อรองรับการจัดซื้อในวงกว้างขึ้น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ภาคผนวก: แหล่งอ้างอิงข้อมูล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4"/>
          <w:szCs w:val="24"/>
        </w:rPr>
        <w:t xml:space="preserve">ข้อมูลตัวเลขในเอกสารนี้รวบรวมจากแหล่งสาธารณะต่อไปนี้ (สืบค้นเดือนสิงหาคม 2569) ผู้จัดทำควรตรวจสอบความเป็นปัจจุบันอีกครั้งก่อนยื่นทุนจริง เนื่องจากตัวเลขงบประมาณ/เงื่อนไขทุนเปลี่ยนแปลงได้ทุกปีงบประมาณ:</w:t>
      </w:r>
    </w:p>
    <w:p>
      <w:pPr>
        <w:spacing w:after="40"/>
      </w:pPr>
      <w:r>
        <w:rPr>
          <w:rFonts w:ascii="TH Sarabun New" w:cs="TH Sarabun New" w:eastAsia="TH Sarabun New" w:hAnsi="TH Sarabun New"/>
          <w:color w:val="595959"/>
          <w:sz w:val="19"/>
          <w:szCs w:val="19"/>
        </w:rPr>
        <w:t xml:space="preserve">• กรมการปกครอง กระทรวงมหาดไทย — ข้อมูลทางการปกครองทั่วประเทศ (จังหวัด/อำเภอ/ตำบล/หมู่บ้าน): multi.dopa.go.th/pab/news/cate9/view46</w:t>
      </w:r>
    </w:p>
    <w:p>
      <w:pPr>
        <w:spacing w:after="40"/>
      </w:pPr>
      <w:r>
        <w:rPr>
          <w:rFonts w:ascii="TH Sarabun New" w:cs="TH Sarabun New" w:eastAsia="TH Sarabun New" w:hAnsi="TH Sarabun New"/>
          <w:color w:val="595959"/>
          <w:sz w:val="19"/>
          <w:szCs w:val="19"/>
        </w:rPr>
        <w:t xml:space="preserve">• The Active (Thai PBS) — ข้อมูล อบต. 5,300 แห่ง และงบประมาณอุดหนุนท้องถิ่นปี 2564: theactive.thaipbs.or.th/data/get-to-know-subdistrict-administrative-organization</w:t>
      </w:r>
    </w:p>
    <w:p>
      <w:pPr>
        <w:spacing w:after="40"/>
      </w:pPr>
      <w:r>
        <w:rPr>
          <w:rFonts w:ascii="TH Sarabun New" w:cs="TH Sarabun New" w:eastAsia="TH Sarabun New" w:hAnsi="TH Sarabun New"/>
          <w:color w:val="595959"/>
          <w:sz w:val="19"/>
          <w:szCs w:val="19"/>
        </w:rPr>
        <w:t xml:space="preserve">• NIA (สำนักงานนวัตกรรมแห่งชาติ) — โครงการนวัตกรรมสำหรับเมืองและชุมชน 2569: nia.or.th/event/detail/18002 และ social.nia.or.th/service/support</w:t>
      </w:r>
    </w:p>
    <w:p>
      <w:pPr>
        <w:spacing w:after="40"/>
      </w:pPr>
      <w:r>
        <w:rPr>
          <w:rFonts w:ascii="TH Sarabun New" w:cs="TH Sarabun New" w:eastAsia="TH Sarabun New" w:hAnsi="TH Sarabun New"/>
          <w:color w:val="595959"/>
          <w:sz w:val="19"/>
          <w:szCs w:val="19"/>
        </w:rPr>
        <w:t xml:space="preserve">• บพท. (หน่วยบริหารและจัดการทุนด้านการพัฒนาระดับพื้นที่) — โปรแกรมเมืองน่าอยู่ที่ชาญฉลาด 2569: pmua.or.th/29151</w:t>
      </w:r>
    </w:p>
    <w:p>
      <w:pPr>
        <w:spacing w:after="40"/>
      </w:pPr>
      <w:r>
        <w:rPr>
          <w:rFonts w:ascii="TH Sarabun New" w:cs="TH Sarabun New" w:eastAsia="TH Sarabun New" w:hAnsi="TH Sarabun New"/>
          <w:color w:val="595959"/>
          <w:sz w:val="19"/>
          <w:szCs w:val="19"/>
        </w:rPr>
        <w:t xml:space="preserve">• depa (สำนักงานส่งเสริมเศรษฐกิจดิจิทัล) — Digital Transformation Fund: depa.or.th/th/digitalservice/digital-transformation-fund</w:t>
      </w:r>
    </w:p>
    <w:p>
      <w:pPr>
        <w:spacing w:after="40"/>
      </w:pPr>
      <w:r>
        <w:rPr>
          <w:rFonts w:ascii="TH Sarabun New" w:cs="TH Sarabun New" w:eastAsia="TH Sarabun New" w:hAnsi="TH Sarabun New"/>
          <w:color w:val="595959"/>
          <w:sz w:val="19"/>
          <w:szCs w:val="19"/>
        </w:rPr>
        <w:t xml:space="preserve">• localgov.in.th — ราคาแพ็กเกจเว็บไซต์/โฮสติ้งสำหรับ อปท.: localgov.in.th/pr-alls/16533-prices.html</w:t>
      </w:r>
    </w:p>
    <w:p>
      <w:pPr>
        <w:spacing w:after="40"/>
      </w:pPr>
      <w:r>
        <w:rPr>
          <w:rFonts w:ascii="TH Sarabun New" w:cs="TH Sarabun New" w:eastAsia="TH Sarabun New" w:hAnsi="TH Sarabun New"/>
          <w:color w:val="595959"/>
          <w:sz w:val="19"/>
          <w:szCs w:val="19"/>
        </w:rPr>
        <w:t xml:space="preserve">• เว็บไซต์โปรโมทและเอกสารนำเสนอโครงการ หมู่บ้านดิจิตอล (ข้อมูลผลิตภัณฑ์และฟีเจอร์)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2026-08-31T16:13:47.299Z</dcterms:created>
  <dcterms:modified xsi:type="dcterms:W3CDTF">2026-08-31T16:13:47.300Z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