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spacing w:after="240"/>
        <w:jc w:val="center"/>
      </w:pPr>
      <w:r>
        <w:rPr>
          <w:rFonts w:ascii="Times New Roman" w:cs="Calibri" w:eastAsia="Calibri" w:hAnsi="Times New Roman"/>
          <w:b/>
          <w:bCs/>
          <w:color w:val="000000"/>
          <w:sz w:val="48"/>
          <w:szCs w:val="48"/>
        </w:rPr>
        <w:t xml:space="preserve">Assessing the Civilian Impact of International Sanctions</w:t>
      </w:r>
    </w:p>
    <w:p>
      <w:pPr>
        <w:spacing w:after="240"/>
        <w:jc w:val="center"/>
      </w:pPr>
      <w:r>
        <w:rPr>
          <w:rFonts w:ascii="Times New Roman" w:cs="Calibri" w:eastAsia="Calibri" w:hAnsi="Times New Roman"/>
          <w:b/>
          <w:bCs/>
          <w:color w:val="000000"/>
          <w:sz w:val="48"/>
          <w:szCs w:val="48"/>
        </w:rPr>
        <w:t xml:space="preserve">on Economic and Social Well-Being</w:t>
      </w:r>
    </w:p>
    <w:p>
      <w:pPr>
        <w:pBdr>
          <w:bottom w:val="single" w:color="1F497D" w:sz="12" w:space="6"/>
        </w:pBdr>
        <w:spacing w:after="480"/>
        <w:jc w:val="center"/>
      </w:pPr>
    </w:p>
    <w:p>
      <w:pPr>
        <w:spacing w:after="160"/>
        <w:jc w:val="center"/>
      </w:pPr>
      <w:r>
        <w:rPr>
          <w:rFonts w:ascii="Times New Roman" w:cs="Calibri" w:eastAsia="Calibri" w:hAnsi="Times New Roman"/>
          <w:i/>
          <w:iCs/>
          <w:color w:val="000000"/>
          <w:sz w:val="32"/>
          <w:szCs w:val="32"/>
        </w:rPr>
        <w:t xml:space="preserve">Final Research Report</w:t>
      </w:r>
    </w:p>
    <w:p>
      <w:pPr>
        <w:spacing w:after="160"/>
        <w:jc w:val="center"/>
      </w:pPr>
      <w:r>
        <w:rPr>
          <w:rFonts w:ascii="Times New Roman" w:cs="Calibri" w:eastAsia="Calibri" w:hAnsi="Times New Roman"/>
          <w:color w:val="000000"/>
          <w:sz w:val="26"/>
          <w:szCs w:val="26"/>
        </w:rPr>
        <w:t xml:space="preserve">April 2026</w:t>
      </w:r>
    </w:p>
    <w:p>
      <w:r>
        <w:rPr>
          <w:rFonts w:ascii="Times New Roman" w:hAnsi="Times New Roman" w:eastAsia="Times New Roman"/>
          <w:color w:val="000000"/>
          <w:sz w:val="24"/>
        </w:rPr>
        <w:t/>
      </w:r>
    </w:p>
    <w:p>
      <w:r>
        <w:rPr>
          <w:rFonts w:ascii="Times New Roman" w:hAnsi="Times New Roman" w:eastAsia="Times New Roman"/>
          <w:color w:val="000000"/>
          <w:b/>
          <w:sz w:val="24"/>
        </w:rPr>
        <w:t>Team Members:</w:t>
      </w:r>
    </w:p>
    <w:p>
      <w:r>
        <w:rPr>
          <w:rFonts w:ascii="Times New Roman" w:hAnsi="Times New Roman" w:eastAsia="Times New Roman"/>
          <w:color w:val="000000"/>
          <w:sz w:val="24"/>
        </w:rPr>
        <w:t>1) Khyathi Vardhan Ravella</w:t>
      </w:r>
    </w:p>
    <w:p>
      <w:r>
        <w:rPr>
          <w:rFonts w:ascii="Times New Roman" w:hAnsi="Times New Roman" w:eastAsia="Times New Roman"/>
          <w:color w:val="000000"/>
          <w:sz w:val="24"/>
        </w:rPr>
        <w:t>2) Akki Eshwar</w:t>
      </w:r>
    </w:p>
    <w:p>
      <w:r>
        <w:rPr>
          <w:rFonts w:ascii="Times New Roman" w:hAnsi="Times New Roman" w:eastAsia="Times New Roman"/>
          <w:color w:val="000000"/>
          <w:sz w:val="24"/>
        </w:rPr>
        <w:t/>
      </w:r>
    </w:p>
    <w:p>
      <w:pPr>
        <w:spacing w:after="480"/>
      </w:pPr>
    </w:p>
    <w:p>
      <w:pPr>
        <w:spacing w:after="80"/>
        <w:jc w:val="center"/>
      </w:pPr>
      <w:r>
        <w:rPr>
          <w:rFonts w:ascii="Times New Roman" w:cs="Calibri" w:eastAsia="Calibri" w:hAnsi="Times New Roman"/>
          <w:color w:val="000000"/>
          <w:sz w:val="22"/>
          <w:szCs w:val="22"/>
        </w:rPr>
        <w:t xml:space="preserve">Interactive Dashboard:</w:t>
      </w:r>
    </w:p>
    <w:p>
      <w:pPr>
        <w:spacing w:after="80"/>
        <w:jc w:val="center"/>
      </w:pPr>
      <w:hyperlink w:history="1" r:id="rId21bbheab8cnjo9fxjyky_">
        <w:r>
          <w:rPr>
            <w:rStyle w:val="Hyperlink"/>
            <w:rFonts w:ascii="Calibri" w:cs="Calibri" w:eastAsia="Calibri" w:hAnsi="Calibri"/>
            <w:sz w:val="22"/>
            <w:szCs w:val="22"/>
          </w:rPr>
          <w:t xml:space="preserve">https://sanctions-civilian-wellbeing.streamlit.app</w:t>
        </w:r>
      </w:hyperlink>
    </w:p>
    <w:p>
      <w:r>
        <w:rPr>
          <w:rFonts w:ascii="Times New Roman" w:hAnsi="Times New Roman"/>
          <w:color w:val="000000"/>
        </w:rPr>
        <w:br w:type="page"/>
      </w:r>
    </w:p>
    <w:sdt>
      <w:sdtPr>
        <w:alias w:val="Table of Contents"/>
      </w:sdtPr>
      <w:sdtContent>
        <w:p>
          <w:r>
            <w:fldChar w:fldCharType="begin" w:dirty="true"/>
            <w:instrText xml:space="preserve">TOC \h \o "1-2"</w:instrText>
            <w:fldChar w:fldCharType="separate"/>
          </w:r>
        </w:p>
        <w:p>
          <w:r>
            <w:fldChar w:fldCharType="end"/>
          </w:r>
        </w:p>
      </w:sdtContent>
    </w:sdt>
    <w:p>
      <w:r>
        <w:rPr>
          <w:rFonts w:ascii="Times New Roman" w:hAnsi="Times New Roman"/>
          <w:color w:val="000000"/>
        </w:rPr>
        <w:br w:type="page"/>
      </w:r>
    </w:p>
    <w:p>
      <w:pPr>
        <w:pStyle w:val="Heading1"/>
        <w:spacing w:after="120" w:before="360"/>
      </w:pPr>
      <w:r>
        <w:rPr>
          <w:rFonts w:ascii="Times New Roman" w:cs="Calibri" w:eastAsia="Calibri" w:hAnsi="Times New Roman"/>
          <w:b/>
          <w:bCs/>
          <w:color w:val="000000"/>
          <w:sz w:val="32"/>
          <w:szCs w:val="32"/>
        </w:rPr>
        <w:t xml:space="preserve">1. Executive Summary</w:t>
      </w:r>
    </w:p>
    <w:p>
      <w:pPr>
        <w:spacing w:after="160"/>
      </w:pPr>
      <w:r>
        <w:rPr>
          <w:rFonts w:ascii="Times New Roman" w:cs="Calibri" w:eastAsia="Calibri" w:hAnsi="Times New Roman"/>
          <w:color w:val="000000"/>
          <w:sz w:val="24"/>
          <w:szCs w:val="24"/>
        </w:rPr>
        <w:t xml:space="preserve">International sanctions are a prominent instrument of foreign policy, yet their humanitarian consequences for civilian populations remain contested. This project builds a country-year panel dataset of approximately 7,800 observations spanning 190 countries from 1995 to 2024, integrating data from the World Bank World Development Indicators, the Global Sanctions Database (GSDB), UN Comtrade, and the UCDP/Polity V political datasets. Three predictive models — Linear Regression, Random Forest, and Gradient Boosting — were trained and compared. A fixed-effects panel regression and an event-study design were used for causal identification.</w:t>
      </w:r>
    </w:p>
    <w:p>
      <w:pPr>
        <w:spacing w:after="160"/>
      </w:pPr>
      <w:r>
        <w:rPr>
          <w:rFonts w:ascii="Times New Roman" w:cs="Calibri" w:eastAsia="Calibri" w:hAnsi="Times New Roman"/>
          <w:color w:val="000000"/>
          <w:sz w:val="24"/>
          <w:szCs w:val="24"/>
        </w:rPr>
        <w:t xml:space="preserve">The headline finding is that while sanctioned countries display worse welfare outcomes in raw descriptive comparisons, fixed-effects estimation reveals that this gap is largely attributable to selection bias: countries targeted by sanctions were already more economically and socially vulnerable before sanctions were imposed. After controlling for country and year fixed effects, the within-country sanction coefficient is small and statistically insignificant across all five civilian welfare dimensions studied.</w:t>
      </w:r>
    </w:p>
    <w:p>
      <w:pPr>
        <w:pStyle w:val="Heading1"/>
        <w:spacing w:after="120" w:before="360"/>
      </w:pPr>
      <w:r>
        <w:rPr>
          <w:rFonts w:ascii="Times New Roman" w:cs="Calibri" w:eastAsia="Calibri" w:hAnsi="Times New Roman"/>
          <w:b/>
          <w:bCs/>
          <w:color w:val="000000"/>
          <w:sz w:val="32"/>
          <w:szCs w:val="32"/>
        </w:rPr>
        <w:t xml:space="preserve">2. Introduction</w:t>
      </w:r>
    </w:p>
    <w:p>
      <w:pPr>
        <w:pStyle w:val="Heading2"/>
        <w:spacing w:after="80" w:before="240"/>
      </w:pPr>
      <w:r>
        <w:rPr>
          <w:rFonts w:ascii="Times New Roman" w:cs="Calibri" w:eastAsia="Calibri" w:hAnsi="Times New Roman"/>
          <w:b/>
          <w:bCs/>
          <w:color w:val="000000"/>
          <w:sz w:val="26"/>
          <w:szCs w:val="26"/>
        </w:rPr>
        <w:t xml:space="preserve">2.1 Background and Motivation</w:t>
      </w:r>
    </w:p>
    <w:p>
      <w:pPr>
        <w:spacing w:after="160"/>
      </w:pPr>
      <w:r>
        <w:rPr>
          <w:rFonts w:ascii="Times New Roman" w:cs="Calibri" w:eastAsia="Calibri" w:hAnsi="Times New Roman"/>
          <w:color w:val="000000"/>
          <w:sz w:val="24"/>
          <w:szCs w:val="24"/>
        </w:rPr>
        <w:t xml:space="preserve">International sanctions are designed to impose economic costs on states, governments, or non-state actors to alter their behavior. Their use has expanded significantly since the end of the Cold War, with the United States, the European Union, and the United Nations collectively maintaining hundreds of active sanction regimes at any given time.</w:t>
      </w:r>
    </w:p>
    <w:p>
      <w:pPr>
        <w:spacing w:after="160"/>
      </w:pPr>
      <w:r>
        <w:rPr>
          <w:rFonts w:ascii="Times New Roman" w:cs="Calibri" w:eastAsia="Calibri" w:hAnsi="Times New Roman"/>
          <w:color w:val="000000"/>
          <w:sz w:val="24"/>
          <w:szCs w:val="24"/>
        </w:rPr>
        <w:t xml:space="preserve">The policy debate around sanctions has primarily focused on whether they achieve their intended political objectives. Far less attention has been paid to a parallel question: what happens to ordinary civilians? Sanctions can restrict trade flows, limit access to international financial systems, reduce imports of essential goods such as food and medicine, generate currency crises, and drive price instability. These disruptions may translate into higher child mortality, worse school attendance, rising unemployment, and broader declines in household welfare.</w:t>
      </w:r>
    </w:p>
    <w:p>
      <w:pPr>
        <w:spacing w:after="160"/>
      </w:pPr>
      <w:r>
        <w:rPr>
          <w:rFonts w:ascii="Times New Roman" w:cs="Calibri" w:eastAsia="Calibri" w:hAnsi="Times New Roman"/>
          <w:color w:val="000000"/>
          <w:sz w:val="24"/>
          <w:szCs w:val="24"/>
        </w:rPr>
        <w:t xml:space="preserve">This project takes a data-driven approach to that question. Rather than relying on case studies of individual sanction episodes, it exploits variation across approximately 190 countries over three decades to estimate the average within-country effect of sanction imposition on civilian well-being.</w:t>
      </w:r>
    </w:p>
    <w:p>
      <w:pPr>
        <w:pStyle w:val="Heading2"/>
        <w:spacing w:after="80" w:before="240"/>
      </w:pPr>
      <w:r>
        <w:rPr>
          <w:rFonts w:ascii="Times New Roman" w:cs="Calibri" w:eastAsia="Calibri" w:hAnsi="Times New Roman"/>
          <w:b/>
          <w:bCs/>
          <w:color w:val="000000"/>
          <w:sz w:val="26"/>
          <w:szCs w:val="26"/>
        </w:rPr>
        <w:t xml:space="preserve">2.2 Research Questions</w:t>
      </w:r>
    </w:p>
    <w:p>
      <w:pPr>
        <w:spacing w:after="160"/>
      </w:pPr>
      <w:r>
        <w:rPr>
          <w:rFonts w:ascii="Times New Roman" w:cs="Calibri" w:eastAsia="Calibri" w:hAnsi="Times New Roman"/>
          <w:color w:val="000000"/>
          <w:sz w:val="24"/>
          <w:szCs w:val="24"/>
        </w:rPr>
        <w:t xml:space="preserve">This project addresses three interrelated questions:</w:t>
      </w:r>
    </w:p>
    <w:p>
      <w:pPr>
        <w:pStyle w:val="ListParagraph"/>
        <w:numPr>
          <w:ilvl w:val="0"/>
          <w:numId w:val="2"/>
        </w:numPr>
        <w:spacing w:after="80"/>
      </w:pPr>
      <w:r>
        <w:rPr>
          <w:rFonts w:ascii="Times New Roman" w:cs="Calibri" w:eastAsia="Calibri" w:hAnsi="Times New Roman"/>
          <w:color w:val="000000"/>
          <w:sz w:val="24"/>
          <w:szCs w:val="24"/>
        </w:rPr>
        <w:t xml:space="preserve">Do international sanctions generate measurable economic and social hardship for civilian populations?</w:t>
      </w:r>
    </w:p>
    <w:p>
      <w:pPr>
        <w:pStyle w:val="ListParagraph"/>
        <w:numPr>
          <w:ilvl w:val="0"/>
          <w:numId w:val="2"/>
        </w:numPr>
        <w:spacing w:after="80"/>
      </w:pPr>
      <w:r>
        <w:rPr>
          <w:rFonts w:ascii="Times New Roman" w:cs="Calibri" w:eastAsia="Calibri" w:hAnsi="Times New Roman"/>
          <w:color w:val="000000"/>
          <w:sz w:val="24"/>
          <w:szCs w:val="24"/>
        </w:rPr>
        <w:t xml:space="preserve">Through which economic channels — trade contraction, inflation, unemployment — do any effects propagate?</w:t>
      </w:r>
    </w:p>
    <w:p>
      <w:pPr>
        <w:pStyle w:val="ListParagraph"/>
        <w:numPr>
          <w:ilvl w:val="0"/>
          <w:numId w:val="2"/>
        </w:numPr>
        <w:spacing w:after="80"/>
      </w:pPr>
      <w:r>
        <w:rPr>
          <w:rFonts w:ascii="Times New Roman" w:cs="Calibri" w:eastAsia="Calibri" w:hAnsi="Times New Roman"/>
          <w:color w:val="000000"/>
          <w:sz w:val="24"/>
          <w:szCs w:val="24"/>
        </w:rPr>
        <w:t xml:space="preserve">Do welfare declines under sanctions coincide with political instability or regime change?</w:t>
      </w:r>
    </w:p>
    <w:p>
      <w:pPr>
        <w:pStyle w:val="Heading2"/>
        <w:spacing w:after="80" w:before="240"/>
      </w:pPr>
      <w:r>
        <w:rPr>
          <w:rFonts w:ascii="Times New Roman" w:cs="Calibri" w:eastAsia="Calibri" w:hAnsi="Times New Roman"/>
          <w:b/>
          <w:bCs/>
          <w:color w:val="000000"/>
          <w:sz w:val="26"/>
          <w:szCs w:val="26"/>
        </w:rPr>
        <w:t xml:space="preserve">2.3 Significance</w:t>
      </w:r>
    </w:p>
    <w:p>
      <w:pPr>
        <w:spacing w:after="160"/>
      </w:pPr>
      <w:r>
        <w:rPr>
          <w:rFonts w:ascii="Times New Roman" w:cs="Calibri" w:eastAsia="Calibri" w:hAnsi="Times New Roman"/>
          <w:color w:val="000000"/>
          <w:sz w:val="24"/>
          <w:szCs w:val="24"/>
        </w:rPr>
        <w:t xml:space="preserve">Understanding the civilian impact of sanctions is critical for designing humanitarian exemption clauses, targeting international aid effectively, and informing the ethical debate around economic coercion as a foreign policy tool. A rigorous empirical finding — even one that shows limited causal effects — advances this debate by replacing speculation with evidence.</w:t>
      </w:r>
    </w:p>
    <w:p>
      <w:pPr>
        <w:pStyle w:val="Heading1"/>
        <w:spacing w:after="120" w:before="360"/>
      </w:pPr>
      <w:r>
        <w:rPr>
          <w:rFonts w:ascii="Times New Roman" w:cs="Calibri" w:eastAsia="Calibri" w:hAnsi="Times New Roman"/>
          <w:b/>
          <w:bCs/>
          <w:color w:val="000000"/>
          <w:sz w:val="32"/>
          <w:szCs w:val="32"/>
        </w:rPr>
        <w:t xml:space="preserve">3. Data and Sources</w:t>
      </w:r>
    </w:p>
    <w:p>
      <w:pPr>
        <w:spacing w:after="160"/>
      </w:pPr>
      <w:r>
        <w:rPr>
          <w:rFonts w:ascii="Times New Roman" w:cs="Calibri" w:eastAsia="Calibri" w:hAnsi="Times New Roman"/>
          <w:color w:val="000000"/>
          <w:sz w:val="24"/>
          <w:szCs w:val="24"/>
        </w:rPr>
        <w:t xml:space="preserve">The project integrates four primary data sources into a unified country-year panel: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300"/>
        <w:gridCol w:w="1560"/>
      </w:tblGrid>
      <w:tr>
        <w:trPr>
          <w:tblHeader/>
        </w:trPr>
        <w:tc>
          <w:tcPr>
            <w:tcW w:type="dxa" w:w="21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Dataset</w:t>
            </w:r>
          </w:p>
        </w:tc>
        <w:tc>
          <w:tcPr>
            <w:tcW w:type="dxa" w:w="24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Source</w:t>
            </w:r>
          </w:p>
        </w:tc>
        <w:tc>
          <w:tcPr>
            <w:tcW w:type="dxa" w:w="33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Key Variables</w:t>
            </w:r>
          </w:p>
        </w:tc>
        <w:tc>
          <w:tcPr>
            <w:tcW w:type="dxa" w:w="156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Observations</w:t>
            </w:r>
          </w:p>
        </w:tc>
      </w:tr>
      <w:tr>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Sanctions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Global Sanctions Database (GSDB)</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Sanction timing, type, intensity, duration</w:t>
            </w:r>
          </w:p>
        </w:tc>
        <w:tc>
          <w:tcPr>
            <w:tcW w:type="dxa" w:w="1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~7,800 country-years</w:t>
            </w:r>
          </w:p>
        </w:tc>
      </w:tr>
      <w:tr>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Welfare Indicators</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World Bank WDI</w:t>
            </w:r>
          </w:p>
        </w:tc>
        <w:tc>
          <w:tcPr>
            <w:tcW w:type="dxa" w:w="3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Child mortality, school enrollment, GDP growth, poverty, inflation, unemployment</w:t>
            </w:r>
          </w:p>
        </w:tc>
        <w:tc>
          <w:tcPr>
            <w:tcW w:type="dxa" w:w="1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~7,800 country-years</w:t>
            </w:r>
          </w:p>
        </w:tc>
      </w:tr>
      <w:tr>
        <w:tc>
          <w:tcPr>
            <w:tcW w:type="dxa" w:w="21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Trade Flows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UN Comtrade</w:t>
            </w:r>
          </w:p>
        </w:tc>
        <w:tc>
          <w:tcPr>
            <w:tcW w:type="dxa" w:w="3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Oil exports, pharmaceutical imports, fuel imports</w:t>
            </w:r>
          </w:p>
        </w:tc>
        <w:tc>
          <w:tcPr>
            <w:tcW w:type="dxa" w:w="1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~7,800 country-years</w:t>
            </w:r>
          </w:p>
        </w:tc>
      </w:tr>
      <w:tr>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Political &amp; Conflict</w:t>
            </w:r>
          </w:p>
        </w:tc>
        <w:tc>
          <w:tcPr>
            <w:tcW w:type="dxa" w:w="24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UCDP / Polity V / Archigos</w:t>
            </w:r>
          </w:p>
        </w:tc>
        <w:tc>
          <w:tcPr>
            <w:tcW w:type="dxa" w:w="33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Conflict incidence, conflict intensity, regime score, leadership turnover</w:t>
            </w:r>
          </w:p>
        </w:tc>
        <w:tc>
          <w:tcPr>
            <w:tcW w:type="dxa" w:w="15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~7,800 country-years</w:t>
            </w:r>
          </w:p>
        </w:tc>
      </w:tr>
    </w:tbl>
    <w:p>
      <w:pPr>
        <w:spacing w:after="160"/>
      </w:pPr>
    </w:p>
    <w:p>
      <w:pPr>
        <w:spacing w:after="160"/>
      </w:pPr>
      <w:r>
        <w:rPr>
          <w:rFonts w:ascii="Times New Roman" w:cs="Calibri" w:eastAsia="Calibri" w:hAnsi="Times New Roman"/>
          <w:color w:val="000000"/>
          <w:sz w:val="24"/>
          <w:szCs w:val="24"/>
        </w:rPr>
        <w:t xml:space="preserve">The final merged dataset contains 7,821 country-year observations. Under-5 child mortality (deaths per 1,000 live births) was selected as the primary outcome variable because it is the most complete outcome available (approximately 9.5% missing data), is internationally comparable, and simultaneously captures the effects of food security, healthcare access, and household poverty.</w:t>
      </w:r>
    </w:p>
    <w:p>
      <w:pPr>
        <w:pStyle w:val="Heading2"/>
        <w:spacing w:after="80" w:before="240"/>
      </w:pPr>
      <w:r>
        <w:rPr>
          <w:rFonts w:ascii="Times New Roman" w:cs="Calibri" w:eastAsia="Calibri" w:hAnsi="Times New Roman"/>
          <w:b/>
          <w:bCs/>
          <w:color w:val="000000"/>
          <w:sz w:val="26"/>
          <w:szCs w:val="26"/>
        </w:rPr>
        <w:t xml:space="preserve">3.1 Feature Engineering</w:t>
      </w:r>
    </w:p>
    <w:p>
      <w:pPr>
        <w:spacing w:after="160"/>
      </w:pPr>
      <w:r>
        <w:rPr>
          <w:rFonts w:ascii="Times New Roman" w:cs="Calibri" w:eastAsia="Calibri" w:hAnsi="Times New Roman"/>
          <w:color w:val="000000"/>
          <w:sz w:val="24"/>
          <w:szCs w:val="24"/>
        </w:rPr>
        <w:t xml:space="preserve">Prior to modeling, the following transformations were applied:</w:t>
      </w:r>
    </w:p>
    <w:p>
      <w:pPr>
        <w:pStyle w:val="ListParagraph"/>
        <w:numPr>
          <w:ilvl w:val="0"/>
          <w:numId w:val="2"/>
        </w:numPr>
        <w:spacing w:after="80"/>
      </w:pPr>
      <w:r>
        <w:rPr>
          <w:rFonts w:ascii="Times New Roman" w:cs="Calibri" w:eastAsia="Calibri" w:hAnsi="Times New Roman"/>
          <w:color w:val="000000"/>
          <w:sz w:val="24"/>
          <w:szCs w:val="24"/>
        </w:rPr>
        <w:t xml:space="preserve">Lagged variables (1-year and 2-year lags) for child mortality, school enrollment, and unemployment</w:t>
      </w:r>
    </w:p>
    <w:p>
      <w:pPr>
        <w:pStyle w:val="ListParagraph"/>
        <w:numPr>
          <w:ilvl w:val="0"/>
          <w:numId w:val="2"/>
        </w:numPr>
        <w:spacing w:after="80"/>
      </w:pPr>
      <w:r>
        <w:rPr>
          <w:rFonts w:ascii="Times New Roman" w:cs="Calibri" w:eastAsia="Calibri" w:hAnsi="Times New Roman"/>
          <w:color w:val="000000"/>
          <w:sz w:val="24"/>
          <w:szCs w:val="24"/>
        </w:rPr>
        <w:t xml:space="preserve">Log transformations of trade exposure variables to reduce skewness</w:t>
      </w:r>
    </w:p>
    <w:p>
      <w:pPr>
        <w:pStyle w:val="ListParagraph"/>
        <w:numPr>
          <w:ilvl w:val="0"/>
          <w:numId w:val="2"/>
        </w:numPr>
        <w:spacing w:after="80"/>
      </w:pPr>
      <w:r>
        <w:rPr>
          <w:rFonts w:ascii="Times New Roman" w:cs="Calibri" w:eastAsia="Calibri" w:hAnsi="Times New Roman"/>
          <w:color w:val="000000"/>
          <w:sz w:val="24"/>
          <w:szCs w:val="24"/>
        </w:rPr>
        <w:t xml:space="preserve">Interaction terms between sanction status and regime type, and between sanction status and conflict incidence</w:t>
      </w:r>
    </w:p>
    <w:p>
      <w:pPr>
        <w:pStyle w:val="ListParagraph"/>
        <w:numPr>
          <w:ilvl w:val="0"/>
          <w:numId w:val="2"/>
        </w:numPr>
        <w:spacing w:after="80"/>
      </w:pPr>
      <w:r>
        <w:rPr>
          <w:rFonts w:ascii="Times New Roman" w:cs="Calibri" w:eastAsia="Calibri" w:hAnsi="Times New Roman"/>
          <w:color w:val="000000"/>
          <w:sz w:val="24"/>
          <w:szCs w:val="24"/>
        </w:rPr>
        <w:t xml:space="preserve">Gender gap variables (difference between male and female enrollment and mortality rates)</w:t>
      </w:r>
    </w:p>
    <w:p>
      <w:pPr>
        <w:pStyle w:val="ListParagraph"/>
        <w:numPr>
          <w:ilvl w:val="0"/>
          <w:numId w:val="2"/>
        </w:numPr>
        <w:spacing w:after="80"/>
      </w:pPr>
      <w:r>
        <w:rPr>
          <w:rFonts w:ascii="Times New Roman" w:cs="Calibri" w:eastAsia="Calibri" w:hAnsi="Times New Roman"/>
          <w:color w:val="000000"/>
          <w:sz w:val="24"/>
          <w:szCs w:val="24"/>
        </w:rPr>
        <w:t xml:space="preserve">A composite Civilian Well-Being Index, constructed by standardizing and averaging all five outcome dimensions</w:t>
      </w:r>
    </w:p>
    <w:p>
      <w:pPr>
        <w:pStyle w:val="Heading2"/>
        <w:spacing w:after="80" w:before="240"/>
      </w:pPr>
      <w:r>
        <w:rPr>
          <w:rFonts w:ascii="Times New Roman" w:cs="Calibri" w:eastAsia="Calibri" w:hAnsi="Times New Roman"/>
          <w:b/>
          <w:bCs/>
          <w:color w:val="000000"/>
          <w:sz w:val="26"/>
          <w:szCs w:val="26"/>
        </w:rPr>
        <w:t xml:space="preserve">3.2 Data Limitations</w:t>
      </w:r>
    </w:p>
    <w:p>
      <w:pPr>
        <w:spacing w:after="160"/>
      </w:pPr>
      <w:r>
        <w:rPr>
          <w:rFonts w:ascii="Times New Roman" w:cs="Calibri" w:eastAsia="Calibri" w:hAnsi="Times New Roman"/>
          <w:color w:val="000000"/>
          <w:sz w:val="24"/>
          <w:szCs w:val="24"/>
        </w:rPr>
        <w:t xml:space="preserve">Poverty rate (Gini index and headcount) had 68–74% missing values across the panel and could not be used as a primary outcome in regression analysis. These gaps disproportionately affect lower-income countries, creating potential for survivorship bias in welfare comparisons. Sanctioned countries with the worst outcomes may be underrepresented precisely because their statistical capacity is lower.</w:t>
      </w:r>
    </w:p>
    <w:p>
      <w:pPr>
        <w:pStyle w:val="Heading1"/>
        <w:spacing w:after="120" w:before="360"/>
      </w:pPr>
      <w:r>
        <w:rPr>
          <w:rFonts w:ascii="Times New Roman" w:cs="Calibri" w:eastAsia="Calibri" w:hAnsi="Times New Roman"/>
          <w:b/>
          <w:bCs/>
          <w:color w:val="000000"/>
          <w:sz w:val="32"/>
          <w:szCs w:val="32"/>
        </w:rPr>
        <w:t xml:space="preserve">4. Methodology</w:t>
      </w:r>
    </w:p>
    <w:p>
      <w:pPr>
        <w:pStyle w:val="Heading2"/>
        <w:spacing w:after="80" w:before="240"/>
      </w:pPr>
      <w:r>
        <w:rPr>
          <w:rFonts w:ascii="Times New Roman" w:cs="Calibri" w:eastAsia="Calibri" w:hAnsi="Times New Roman"/>
          <w:b/>
          <w:bCs/>
          <w:color w:val="000000"/>
          <w:sz w:val="26"/>
          <w:szCs w:val="26"/>
        </w:rPr>
        <w:t xml:space="preserve">4.1 Predictive Modeling</w:t>
      </w:r>
    </w:p>
    <w:p>
      <w:pPr>
        <w:spacing w:after="160"/>
      </w:pPr>
      <w:r>
        <w:rPr>
          <w:rFonts w:ascii="Times New Roman" w:cs="Calibri" w:eastAsia="Calibri" w:hAnsi="Times New Roman"/>
          <w:color w:val="000000"/>
          <w:sz w:val="24"/>
          <w:szCs w:val="24"/>
        </w:rPr>
        <w:t xml:space="preserve">Three supervised learning models were trained and evaluated on a 50/25/25 train/validation/test split:</w:t>
      </w:r>
    </w:p>
    <w:p>
      <w:pPr>
        <w:spacing w:after="160"/>
      </w:pPr>
      <w:r>
        <w:rPr>
          <w:rFonts w:ascii="Times New Roman" w:cs="Calibri" w:eastAsia="Calibri" w:hAnsi="Times New Roman"/>
          <w:color w:val="000000"/>
          <w:sz w:val="24"/>
          <w:szCs w:val="24"/>
        </w:rPr>
        <w:t xml:space="preserve">Linear Regression (Baseline): A standard OLS model to establish interpretable baseline coefficients and identify the most influential predictors without regularization.</w:t>
      </w:r>
    </w:p>
    <w:p>
      <w:pPr>
        <w:spacing w:after="160"/>
      </w:pPr>
      <w:r>
        <w:rPr>
          <w:rFonts w:ascii="Times New Roman" w:cs="Calibri" w:eastAsia="Calibri" w:hAnsi="Times New Roman"/>
          <w:color w:val="000000"/>
          <w:sz w:val="24"/>
          <w:szCs w:val="24"/>
        </w:rPr>
        <w:t xml:space="preserve">Random Forest: An ensemble of decision trees trained on bootstrapped samples with feature randomization. Provides non-linear predictions and permutation-based feature importance estimates.</w:t>
      </w:r>
    </w:p>
    <w:p>
      <w:pPr>
        <w:spacing w:after="160"/>
      </w:pPr>
      <w:r>
        <w:rPr>
          <w:rFonts w:ascii="Times New Roman" w:cs="Calibri" w:eastAsia="Calibri" w:hAnsi="Times New Roman"/>
          <w:color w:val="000000"/>
          <w:sz w:val="24"/>
          <w:szCs w:val="24"/>
        </w:rPr>
        <w:t xml:space="preserve">Gradient Boosting (Best Model): A sequential ensemble that minimizes residual errors iteratively. Achieved the strongest out-of-sample performance: Validation R² = 0.83, Test R² = 0.65.</w:t>
      </w:r>
    </w:p>
    <w:p>
      <w:pPr>
        <w:spacing w:after="160"/>
      </w:pPr>
      <w:r>
        <w:rPr>
          <w:rFonts w:ascii="Times New Roman" w:cs="Calibri" w:eastAsia="Calibri" w:hAnsi="Times New Roman"/>
          <w:color w:val="000000"/>
          <w:sz w:val="24"/>
          <w:szCs w:val="24"/>
        </w:rPr>
        <w:t xml:space="preserve">The most important predictors in the Gradient Boosting model were female primary school enrollment, poverty rate, and school enrollment — all structural welfare indicators that pre-date and dominate over sanction-specific variables. Sanction status itself ranked low in feature importance.</w:t>
      </w:r>
    </w:p>
    <w:p>
      <w:pPr>
        <w:pStyle w:val="Heading2"/>
        <w:spacing w:after="80" w:before="240"/>
      </w:pPr>
      <w:r>
        <w:rPr>
          <w:rFonts w:ascii="Times New Roman" w:cs="Calibri" w:eastAsia="Calibri" w:hAnsi="Times New Roman"/>
          <w:b/>
          <w:bCs/>
          <w:color w:val="000000"/>
          <w:sz w:val="26"/>
          <w:szCs w:val="26"/>
        </w:rPr>
        <w:t xml:space="preserve">4.2 Fixed-Effects Panel Regression</w:t>
      </w:r>
    </w:p>
    <w:p>
      <w:pPr>
        <w:spacing w:after="160"/>
      </w:pPr>
      <w:r>
        <w:rPr>
          <w:rFonts w:ascii="Times New Roman" w:cs="Calibri" w:eastAsia="Calibri" w:hAnsi="Times New Roman"/>
          <w:color w:val="000000"/>
          <w:sz w:val="24"/>
          <w:szCs w:val="24"/>
        </w:rPr>
        <w:t xml:space="preserve">To move beyond prediction and towards causal identification, the project employed a two-way fixed-effects (TWFE) panel regression using the within-estimator (demeaning approach). The regression specification is:</w:t>
      </w:r>
    </w:p>
    <w:p>
      <w:pPr>
        <w:spacing w:after="120" w:before="120"/>
        <w:jc w:val="center"/>
      </w:pPr>
      <w:r>
        <w:rPr>
          <w:rFonts w:ascii="Times New Roman" w:cs="Calibri" w:eastAsia="Calibri" w:hAnsi="Times New Roman"/>
          <w:i/>
          <w:iCs/>
          <w:color w:val="000000"/>
          <w:sz w:val="24"/>
          <w:szCs w:val="24"/>
        </w:rPr>
        <w:t xml:space="preserve">Yᵢₜ = β·Sanctionᵢₜ + γ·Xᵢₜ + αᵢ + δₜ + εᵢₜ</w:t>
      </w:r>
    </w:p>
    <w:p>
      <w:pPr>
        <w:spacing w:after="160"/>
      </w:pPr>
      <w:r>
        <w:rPr>
          <w:rFonts w:ascii="Times New Roman" w:cs="Calibri" w:eastAsia="Calibri" w:hAnsi="Times New Roman"/>
          <w:color w:val="000000"/>
          <w:sz w:val="24"/>
          <w:szCs w:val="24"/>
        </w:rPr>
        <w:t xml:space="preserve">Where:</w:t>
      </w:r>
    </w:p>
    <w:p>
      <w:pPr>
        <w:pStyle w:val="ListParagraph"/>
        <w:numPr>
          <w:ilvl w:val="0"/>
          <w:numId w:val="2"/>
        </w:numPr>
        <w:spacing w:after="80"/>
      </w:pPr>
      <w:r>
        <w:rPr>
          <w:rFonts w:ascii="Times New Roman" w:cs="Calibri" w:eastAsia="Calibri" w:hAnsi="Times New Roman"/>
          <w:color w:val="000000"/>
          <w:sz w:val="24"/>
          <w:szCs w:val="24"/>
        </w:rPr>
        <w:t xml:space="preserve">Yᵢₜ is the civilian welfare outcome for country i in year t</w:t>
      </w:r>
    </w:p>
    <w:p>
      <w:pPr>
        <w:pStyle w:val="ListParagraph"/>
        <w:numPr>
          <w:ilvl w:val="0"/>
          <w:numId w:val="2"/>
        </w:numPr>
        <w:spacing w:after="80"/>
      </w:pPr>
      <w:r>
        <w:rPr>
          <w:rFonts w:ascii="Times New Roman" w:cs="Calibri" w:eastAsia="Calibri" w:hAnsi="Times New Roman"/>
          <w:color w:val="000000"/>
          <w:sz w:val="24"/>
          <w:szCs w:val="24"/>
        </w:rPr>
        <w:t xml:space="preserve">Sanctionᵢₜ is either a binary indicator (sanction_active) or continuous (sanction_intensity_index)</w:t>
      </w:r>
    </w:p>
    <w:p>
      <w:pPr>
        <w:pStyle w:val="ListParagraph"/>
        <w:numPr>
          <w:ilvl w:val="0"/>
          <w:numId w:val="2"/>
        </w:numPr>
        <w:spacing w:after="80"/>
      </w:pPr>
      <w:r>
        <w:rPr>
          <w:rFonts w:ascii="Times New Roman" w:cs="Calibri" w:eastAsia="Calibri" w:hAnsi="Times New Roman"/>
          <w:color w:val="000000"/>
          <w:sz w:val="24"/>
          <w:szCs w:val="24"/>
        </w:rPr>
        <w:t xml:space="preserve">Xᵢₜ is a vector of time-varying controls: GDP growth, inflation, conflict incidence and intensity, unemployment, log trade exposure, and regime score</w:t>
      </w:r>
    </w:p>
    <w:p>
      <w:pPr>
        <w:pStyle w:val="ListParagraph"/>
        <w:numPr>
          <w:ilvl w:val="0"/>
          <w:numId w:val="2"/>
        </w:numPr>
        <w:spacing w:after="80"/>
      </w:pPr>
      <w:r>
        <w:rPr>
          <w:rFonts w:ascii="Times New Roman" w:cs="Calibri" w:eastAsia="Calibri" w:hAnsi="Times New Roman"/>
          <w:color w:val="000000"/>
          <w:sz w:val="24"/>
          <w:szCs w:val="24"/>
        </w:rPr>
        <w:t xml:space="preserve">αᵢ are country fixed effects, absorbing all time-invariant country characteristics</w:t>
      </w:r>
    </w:p>
    <w:p>
      <w:pPr>
        <w:pStyle w:val="ListParagraph"/>
        <w:numPr>
          <w:ilvl w:val="0"/>
          <w:numId w:val="2"/>
        </w:numPr>
        <w:spacing w:after="80"/>
      </w:pPr>
      <w:r>
        <w:rPr>
          <w:rFonts w:ascii="Times New Roman" w:cs="Calibri" w:eastAsia="Calibri" w:hAnsi="Times New Roman"/>
          <w:color w:val="000000"/>
          <w:sz w:val="24"/>
          <w:szCs w:val="24"/>
        </w:rPr>
        <w:t xml:space="preserve">δₜ are year fixed effects, absorbing global time trends</w:t>
      </w:r>
    </w:p>
    <w:p>
      <w:pPr>
        <w:pStyle w:val="ListParagraph"/>
        <w:numPr>
          <w:ilvl w:val="0"/>
          <w:numId w:val="2"/>
        </w:numPr>
        <w:spacing w:after="80"/>
      </w:pPr>
      <w:r>
        <w:rPr>
          <w:rFonts w:ascii="Times New Roman" w:cs="Calibri" w:eastAsia="Calibri" w:hAnsi="Times New Roman"/>
          <w:color w:val="000000"/>
          <w:sz w:val="24"/>
          <w:szCs w:val="24"/>
        </w:rPr>
        <w:t xml:space="preserve">HC1 heteroskedasticity-robust standard errors were used throughout</w:t>
      </w:r>
    </w:p>
    <w:p>
      <w:pPr>
        <w:spacing w:after="160"/>
      </w:pPr>
      <w:r>
        <w:rPr>
          <w:rFonts w:ascii="Times New Roman" w:cs="Calibri" w:eastAsia="Calibri" w:hAnsi="Times New Roman"/>
          <w:color w:val="000000"/>
          <w:sz w:val="24"/>
          <w:szCs w:val="24"/>
        </w:rPr>
        <w:t xml:space="preserve">The within-estimator identifies the sanction effect from changes within the same country over time — when a country transitions from no sanctions to sanctions, what happens to child mortality on average, controlling for concurrent economic and political shocks?</w:t>
      </w:r>
    </w:p>
    <w:p>
      <w:pPr>
        <w:pStyle w:val="Heading2"/>
        <w:spacing w:after="80" w:before="240"/>
      </w:pPr>
      <w:r>
        <w:rPr>
          <w:rFonts w:ascii="Times New Roman" w:cs="Calibri" w:eastAsia="Calibri" w:hAnsi="Times New Roman"/>
          <w:b/>
          <w:bCs/>
          <w:color w:val="000000"/>
          <w:sz w:val="26"/>
          <w:szCs w:val="26"/>
        </w:rPr>
        <w:t xml:space="preserve">4.3 Event Study</w:t>
      </w:r>
    </w:p>
    <w:p>
      <w:pPr>
        <w:spacing w:after="160"/>
      </w:pPr>
      <w:r>
        <w:rPr>
          <w:rFonts w:ascii="Times New Roman" w:cs="Calibri" w:eastAsia="Calibri" w:hAnsi="Times New Roman"/>
          <w:color w:val="000000"/>
          <w:sz w:val="24"/>
          <w:szCs w:val="24"/>
        </w:rPr>
        <w:t xml:space="preserve">An event study was conducted around the year of sanction onset (year 0), examining child mortality from five years before to five years after. This design tests for: (1) pre-trends that would indicate parallel-trends violations; and (2) a discontinuous shift at the onset year that would indicate an immediate sanction effect.</w:t>
      </w:r>
    </w:p>
    <w:p>
      <w:pPr>
        <w:pStyle w:val="Heading1"/>
        <w:spacing w:after="120" w:before="360"/>
      </w:pPr>
      <w:r>
        <w:rPr>
          <w:rFonts w:ascii="Times New Roman" w:cs="Calibri" w:eastAsia="Calibri" w:hAnsi="Times New Roman"/>
          <w:b/>
          <w:bCs/>
          <w:color w:val="000000"/>
          <w:sz w:val="32"/>
          <w:szCs w:val="32"/>
        </w:rPr>
        <w:t xml:space="preserve">5. Key Findings</w:t>
      </w:r>
    </w:p>
    <w:p>
      <w:pPr>
        <w:pStyle w:val="Heading2"/>
        <w:spacing w:after="80" w:before="240"/>
      </w:pPr>
      <w:r>
        <w:rPr>
          <w:rFonts w:ascii="Times New Roman" w:cs="Calibri" w:eastAsia="Calibri" w:hAnsi="Times New Roman"/>
          <w:b/>
          <w:bCs/>
          <w:color w:val="000000"/>
          <w:sz w:val="26"/>
          <w:szCs w:val="26"/>
        </w:rPr>
        <w:t xml:space="preserve">5.1 Predictive Model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Model</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Training R²</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Validation R²</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Test R²</w:t>
            </w:r>
          </w:p>
        </w:tc>
      </w:tr>
      <w:tr>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Linear Regression</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0.91</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0.89</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0.58</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Random Forest</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0.98</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0.91</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0.62</w:t>
            </w:r>
          </w:p>
        </w:tc>
      </w:tr>
      <w:tr>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Gradient Boosting (Best)</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0.95</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0.83</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0.65</w:t>
            </w:r>
          </w:p>
        </w:tc>
      </w:tr>
    </w:tbl>
    <w:p>
      <w:pPr>
        <w:spacing w:after="120"/>
      </w:pPr>
    </w:p>
    <w:p>
      <w:pPr>
        <w:spacing w:after="160"/>
      </w:pPr>
      <w:r>
        <w:rPr>
          <w:rFonts w:ascii="Times New Roman" w:cs="Calibri" w:eastAsia="Calibri" w:hAnsi="Times New Roman"/>
          <w:b/>
          <w:bCs/>
          <w:i/>
          <w:iCs/>
          <w:color w:val="000000"/>
          <w:sz w:val="22"/>
          <w:szCs w:val="22"/>
        </w:rPr>
        <w:t xml:space="preserve">Note: </w:t>
      </w:r>
      <w:r>
        <w:rPr>
          <w:rFonts w:ascii="Times New Roman" w:cs="Calibri" w:eastAsia="Calibri" w:hAnsi="Times New Roman"/>
          <w:i/>
          <w:iCs/>
          <w:color w:val="000000"/>
          <w:sz w:val="22"/>
          <w:szCs w:val="22"/>
        </w:rPr>
        <w:t xml:space="preserve">The initial model achieved near-perfect training R² due to target leakage from lagged dependent variables. After removing leakage-prone features, the Gradient Boosting model achieves a more honest Test R² = 0.65.</w:t>
      </w:r>
    </w:p>
    <w:p>
      <w:pPr>
        <w:pStyle w:val="Heading2"/>
        <w:spacing w:after="80" w:before="240"/>
      </w:pPr>
      <w:r>
        <w:rPr>
          <w:rFonts w:ascii="Times New Roman" w:cs="Calibri" w:eastAsia="Calibri" w:hAnsi="Times New Roman"/>
          <w:b/>
          <w:bCs/>
          <w:color w:val="000000"/>
          <w:sz w:val="26"/>
          <w:szCs w:val="26"/>
        </w:rPr>
        <w:t xml:space="preserve">5.2 Fixed-Effects Regression Results</w:t>
      </w:r>
    </w:p>
    <w:p>
      <w:pPr>
        <w:spacing w:after="160"/>
      </w:pPr>
      <w:r>
        <w:rPr>
          <w:rFonts w:ascii="Times New Roman" w:cs="Calibri" w:eastAsia="Calibri" w:hAnsi="Times New Roman"/>
          <w:color w:val="000000"/>
          <w:sz w:val="24"/>
          <w:szCs w:val="24"/>
        </w:rPr>
        <w:t xml:space="preserve">After controlling for country and year fixed effects and all time-varying controls, the within-country sanction coefficient is small and not statistically significant for any of the five outcomes examined: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Outcome Dimension</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FE Coefficient</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Std. Error</w:t>
            </w:r>
          </w:p>
        </w:tc>
        <w:tc>
          <w:tcPr>
            <w:tcW w:type="dxa" w:w="2000"/>
            <w:tcBorders>
              <w:top w:val="single" w:color="BFBFBF" w:sz="1"/>
              <w:left w:val="single" w:color="BFBFBF" w:sz="1"/>
              <w:bottom w:val="single" w:color="BFBFBF" w:sz="1"/>
              <w:right w:val="single" w:color="BFBFBF" w:sz="1"/>
            </w:tcBorders>
            <w:shd w:fill="1B2A4A" w:val="clear" w:color="auto"/>
            <w:tcMar>
              <w:top w:type="dxa" w:w="100"/>
              <w:left w:type="dxa" w:w="140"/>
              <w:bottom w:type="dxa" w:w="100"/>
              <w:right w:type="dxa" w:w="140"/>
            </w:tcMar>
            <w:vAlign w:val="center"/>
          </w:tcPr>
          <w:p>
            <w:r>
              <w:rPr>
                <w:rFonts w:ascii="Times New Roman" w:cs="Calibri" w:eastAsia="Calibri" w:hAnsi="Times New Roman"/>
                <w:b/>
                <w:bCs/>
                <w:color w:val="FFFFFF"/>
                <w:sz w:val="22"/>
                <w:szCs w:val="22"/>
              </w:rPr>
              <w:t xml:space="preserve">p-value</w:t>
            </w:r>
          </w:p>
        </w:tc>
      </w:tr>
      <w:tr>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Under-5 Child Mortality (per 1,000)</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+0.64</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1.58</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0.69</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School Enrollment (pp)</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+0.05</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1.43</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0.97</w:t>
            </w:r>
          </w:p>
        </w:tc>
      </w:tr>
      <w:tr>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Girls' Primary Enrollment (pp)</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+0.52</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1.24</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0.67</w:t>
            </w:r>
          </w:p>
        </w:tc>
      </w:tr>
      <w:tr>
        <w:tc>
          <w:tcPr>
            <w:tcW w:type="dxa" w:w="33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Unemployment Rate (pp)</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−0.16</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0.39</w:t>
            </w:r>
          </w:p>
        </w:tc>
        <w:tc>
          <w:tcPr>
            <w:tcW w:type="dxa" w:w="20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0.68</w:t>
            </w:r>
          </w:p>
        </w:tc>
      </w:tr>
      <w:tr>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Inflation Rate (pp)</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+3.37</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2.83</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center"/>
          </w:tcPr>
          <w:p>
            <w:pPr>
              <w:jc w:val="left"/>
            </w:pPr>
            <w:r>
              <w:rPr>
                <w:rFonts w:ascii="Times New Roman" w:cs="Calibri" w:eastAsia="Calibri" w:hAnsi="Times New Roman"/>
                <w:b w:val="false"/>
                <w:bCs w:val="false"/>
                <w:color w:val="000000"/>
                <w:sz w:val="22"/>
                <w:szCs w:val="22"/>
              </w:rPr>
              <w:t xml:space="preserve">0.24</w:t>
            </w:r>
          </w:p>
        </w:tc>
      </w:tr>
    </w:tbl>
    <w:p>
      <w:pPr>
        <w:spacing w:after="120"/>
      </w:pPr>
    </w:p>
    <w:p>
      <w:pPr>
        <w:spacing w:after="160"/>
      </w:pPr>
      <w:r>
        <w:rPr>
          <w:rFonts w:ascii="Times New Roman" w:cs="Calibri" w:eastAsia="Calibri" w:hAnsi="Times New Roman"/>
          <w:color w:val="000000"/>
          <w:sz w:val="24"/>
          <w:szCs w:val="24"/>
        </w:rPr>
        <w:t xml:space="preserve">None of these estimates reach conventional significance thresholds (p &lt; 0.05). The composite Civilian Well-Being Index shows a near-zero within-country effect (sanctioned mean: 94.8; non-sanctioned mean: 94.2 — a difference that vanishes after fixed effects).</w:t>
      </w:r>
    </w:p>
    <w:p>
      <w:pPr>
        <w:pStyle w:val="Heading2"/>
        <w:spacing w:after="80" w:before="240"/>
      </w:pPr>
      <w:r>
        <w:rPr>
          <w:rFonts w:ascii="Times New Roman" w:cs="Calibri" w:eastAsia="Calibri" w:hAnsi="Times New Roman"/>
          <w:b/>
          <w:bCs/>
          <w:color w:val="000000"/>
          <w:sz w:val="26"/>
          <w:szCs w:val="26"/>
        </w:rPr>
        <w:t xml:space="preserve">5.3 Event Study</w:t>
      </w:r>
    </w:p>
    <w:p>
      <w:pPr>
        <w:spacing w:after="160"/>
      </w:pPr>
      <w:r>
        <w:rPr>
          <w:rFonts w:ascii="Times New Roman" w:cs="Calibri" w:eastAsia="Calibri" w:hAnsi="Times New Roman"/>
          <w:color w:val="000000"/>
          <w:sz w:val="24"/>
          <w:szCs w:val="24"/>
        </w:rPr>
        <w:t xml:space="preserve">The event study of child mortality around sanction onset shows a continuous downward trend throughout the −5 to +5 window. There is no visible discontinuity at year 0 (sanction onset). Sanctioned countries were declining in child mortality before and after sanctions were imposed, tracking the global downward trend. This result is consistent with the fixed-effects finding and further supports the interpretation that pre-existing structural factors, not sanctions, drive the observed welfare gaps.</w:t>
      </w:r>
    </w:p>
    <w:p>
      <w:pPr>
        <w:pStyle w:val="Heading2"/>
        <w:spacing w:after="80" w:before="240"/>
      </w:pPr>
      <w:r>
        <w:rPr>
          <w:rFonts w:ascii="Times New Roman" w:cs="Calibri" w:eastAsia="Calibri" w:hAnsi="Times New Roman"/>
          <w:b/>
          <w:bCs/>
          <w:color w:val="000000"/>
          <w:sz w:val="26"/>
          <w:szCs w:val="26"/>
        </w:rPr>
        <w:t xml:space="preserve">5.4 Descriptive vs. Causal Gap</w:t>
      </w:r>
    </w:p>
    <w:p>
      <w:pPr>
        <w:spacing w:after="160"/>
      </w:pPr>
      <w:r>
        <w:rPr>
          <w:rFonts w:ascii="Times New Roman" w:cs="Calibri" w:eastAsia="Calibri" w:hAnsi="Times New Roman"/>
          <w:color w:val="000000"/>
          <w:sz w:val="24"/>
          <w:szCs w:val="24"/>
        </w:rPr>
        <w:t xml:space="preserve">In unadjusted comparisons, sanctioned countries show substantially worse outcomes across all five dimensions. This descriptive gap is real but misleading: it reflects the fact that sanctioned countries were already poorer, more conflict-affected, and more institutionally fragile before sanctions were imposed. Fixed-effects estimation removes this compositional bias by comparing each country to itself over time.</w:t>
      </w:r>
    </w:p>
    <w:p>
      <w:pPr>
        <w:pStyle w:val="Heading2"/>
        <w:spacing w:after="80" w:before="240"/>
      </w:pPr>
      <w:r>
        <w:rPr>
          <w:rFonts w:ascii="Times New Roman" w:cs="Calibri" w:eastAsia="Calibri" w:hAnsi="Times New Roman"/>
          <w:b/>
          <w:bCs/>
          <w:color w:val="000000"/>
          <w:sz w:val="26"/>
          <w:szCs w:val="26"/>
        </w:rPr>
        <w:t xml:space="preserve">5.5 Heterogeneous Effects</w:t>
      </w:r>
    </w:p>
    <w:p>
      <w:pPr>
        <w:spacing w:after="160"/>
      </w:pPr>
      <w:r>
        <w:rPr>
          <w:rFonts w:ascii="Times New Roman" w:cs="Calibri" w:eastAsia="Calibri" w:hAnsi="Times New Roman"/>
          <w:color w:val="000000"/>
          <w:sz w:val="24"/>
          <w:szCs w:val="24"/>
        </w:rPr>
        <w:t xml:space="preserve">Authoritarian regimes show larger descriptive welfare gaps under sanctions than democratic regimes in unadjusted comparisons. After applying fixed effects, the regime × sanction interaction weakens substantially, again indicating that selection bias — not a genuine differential sanction effect — drives this pattern.</w:t>
      </w:r>
    </w:p>
    <w:p>
      <w:pPr>
        <w:pStyle w:val="Heading1"/>
        <w:spacing w:after="120" w:before="360"/>
      </w:pPr>
      <w:r>
        <w:rPr>
          <w:rFonts w:ascii="Times New Roman" w:cs="Calibri" w:eastAsia="Calibri" w:hAnsi="Times New Roman"/>
          <w:b/>
          <w:bCs/>
          <w:color w:val="000000"/>
          <w:sz w:val="32"/>
          <w:szCs w:val="32"/>
        </w:rPr>
        <w:t xml:space="preserve">6. Discussion</w:t>
      </w:r>
    </w:p>
    <w:p>
      <w:pPr>
        <w:pStyle w:val="Heading2"/>
        <w:spacing w:after="80" w:before="240"/>
      </w:pPr>
      <w:r>
        <w:rPr>
          <w:rFonts w:ascii="Times New Roman" w:cs="Calibri" w:eastAsia="Calibri" w:hAnsi="Times New Roman"/>
          <w:b/>
          <w:bCs/>
          <w:color w:val="000000"/>
          <w:sz w:val="26"/>
          <w:szCs w:val="26"/>
        </w:rPr>
        <w:t xml:space="preserve">6.1 Interpretation</w:t>
      </w:r>
    </w:p>
    <w:p>
      <w:pPr>
        <w:spacing w:after="160"/>
      </w:pPr>
      <w:r>
        <w:rPr>
          <w:rFonts w:ascii="Times New Roman" w:cs="Calibri" w:eastAsia="Calibri" w:hAnsi="Times New Roman"/>
          <w:color w:val="000000"/>
          <w:sz w:val="24"/>
          <w:szCs w:val="24"/>
        </w:rPr>
        <w:t xml:space="preserve">The main finding of this project is methodologically important: the widely-cited descriptive evidence that sanctions harm civilian welfare is substantially driven by selection bias. Countries targeted by sanctions tend to be authoritarian, conflict-affected, and economically fragile before sanctions are ever imposed. A naive comparison of sanctioned and non-sanctioned countries confounds the sanction effect with all the pre-existing differences between these groups.</w:t>
      </w:r>
    </w:p>
    <w:p>
      <w:pPr>
        <w:spacing w:after="160"/>
      </w:pPr>
      <w:r>
        <w:rPr>
          <w:rFonts w:ascii="Times New Roman" w:cs="Calibri" w:eastAsia="Calibri" w:hAnsi="Times New Roman"/>
          <w:color w:val="000000"/>
          <w:sz w:val="24"/>
          <w:szCs w:val="24"/>
        </w:rPr>
        <w:t xml:space="preserve">This does not mean that sanctions have no humanitarian consequences. The fixed-effects estimates are imprecise — the confidence intervals are wide enough to include economically meaningful effects in either direction. What the data do not support is a large, consistent, statistically detectable average causal effect of sanctions on civilian welfare across the full sample of sanction episodes.</w:t>
      </w:r>
    </w:p>
    <w:p>
      <w:pPr>
        <w:spacing w:after="160"/>
      </w:pPr>
      <w:r>
        <w:rPr>
          <w:rFonts w:ascii="Times New Roman" w:cs="Calibri" w:eastAsia="Calibri" w:hAnsi="Times New Roman"/>
          <w:color w:val="000000"/>
          <w:sz w:val="24"/>
          <w:szCs w:val="24"/>
        </w:rPr>
        <w:t xml:space="preserve">The most plausible interpretation is that sanction effects are heterogeneous: severe, comprehensive sanctions on already-vulnerable populations (North Korea, Iran under maximum pressure) likely do impose significant humanitarian costs, while targeted financial sanctions on elites may have minimal civilian impact. The average treatment effect across all episodes is small because these very different types of sanctions are pooled together.</w:t>
      </w:r>
    </w:p>
    <w:p>
      <w:pPr>
        <w:pStyle w:val="Heading2"/>
        <w:spacing w:after="80" w:before="240"/>
      </w:pPr>
      <w:r>
        <w:rPr>
          <w:rFonts w:ascii="Times New Roman" w:cs="Calibri" w:eastAsia="Calibri" w:hAnsi="Times New Roman"/>
          <w:b/>
          <w:bCs/>
          <w:color w:val="000000"/>
          <w:sz w:val="26"/>
          <w:szCs w:val="26"/>
        </w:rPr>
        <w:t xml:space="preserve">6.2 Policy Implications</w:t>
      </w:r>
    </w:p>
    <w:p>
      <w:pPr>
        <w:spacing w:after="160"/>
      </w:pPr>
      <w:r>
        <w:rPr>
          <w:rFonts w:ascii="Times New Roman" w:cs="Calibri" w:eastAsia="Calibri" w:hAnsi="Times New Roman"/>
          <w:color w:val="000000"/>
          <w:sz w:val="24"/>
          <w:szCs w:val="24"/>
        </w:rPr>
        <w:t xml:space="preserve">Pre-existing vulnerability, not sanctions per se, is the primary driver of poor welfare outcomes in sanctioned countries. This implies that humanitarian aid and exemption frameworks should be designed to address structural fragility, not just the direct trade and financial disruptions caused by sanctions. Countries with high pre-sanction levels of poverty, conflict, and institutional weakness require proactive humanitarian engagement regardless of whether sanctions are in place.</w:t>
      </w:r>
    </w:p>
    <w:p>
      <w:pPr>
        <w:spacing w:after="160"/>
      </w:pPr>
      <w:r>
        <w:rPr>
          <w:rFonts w:ascii="Times New Roman" w:cs="Calibri" w:eastAsia="Calibri" w:hAnsi="Times New Roman"/>
          <w:color w:val="000000"/>
          <w:sz w:val="24"/>
          <w:szCs w:val="24"/>
        </w:rPr>
        <w:t xml:space="preserve">For sanctions designers, the findings suggest that the humanitarian risk of comprehensive trade sanctions differs sharply from that of targeted financial measures. The data do not support a blanket claim that all sanctions harm civilians at the population level.</w:t>
      </w:r>
    </w:p>
    <w:p>
      <w:pPr>
        <w:pStyle w:val="Heading1"/>
        <w:spacing w:after="120" w:before="360"/>
      </w:pPr>
      <w:r>
        <w:rPr>
          <w:rFonts w:ascii="Times New Roman" w:cs="Calibri" w:eastAsia="Calibri" w:hAnsi="Times New Roman"/>
          <w:b/>
          <w:bCs/>
          <w:color w:val="000000"/>
          <w:sz w:val="32"/>
          <w:szCs w:val="32"/>
        </w:rPr>
        <w:t xml:space="preserve">7. Limitations and Future Work</w:t>
      </w:r>
    </w:p>
    <w:p>
      <w:pPr>
        <w:pStyle w:val="Heading2"/>
        <w:spacing w:after="80" w:before="240"/>
      </w:pPr>
      <w:r>
        <w:rPr>
          <w:rFonts w:ascii="Times New Roman" w:cs="Calibri" w:eastAsia="Calibri" w:hAnsi="Times New Roman"/>
          <w:b/>
          <w:bCs/>
          <w:color w:val="000000"/>
          <w:sz w:val="26"/>
          <w:szCs w:val="26"/>
        </w:rPr>
        <w:t xml:space="preserve">7.1 Current Limitations</w:t>
      </w:r>
    </w:p>
    <w:p>
      <w:pPr>
        <w:spacing w:after="160"/>
      </w:pPr>
      <w:r>
        <w:rPr>
          <w:rFonts w:ascii="Times New Roman" w:cs="Calibri" w:eastAsia="Calibri" w:hAnsi="Times New Roman"/>
          <w:color w:val="000000"/>
          <w:sz w:val="24"/>
          <w:szCs w:val="24"/>
        </w:rPr>
        <w:t xml:space="preserve">Data sparseness: Poverty rate and Gini index had 68–74% missing values and could not be used as primary regression outcomes. These are theoretically the most direct measures of civilian hardship and their absence is a genuine constraint on the analysis.</w:t>
      </w:r>
    </w:p>
    <w:p>
      <w:pPr>
        <w:spacing w:after="160"/>
      </w:pPr>
      <w:r>
        <w:rPr>
          <w:rFonts w:ascii="Times New Roman" w:cs="Calibri" w:eastAsia="Calibri" w:hAnsi="Times New Roman"/>
          <w:color w:val="000000"/>
          <w:sz w:val="24"/>
          <w:szCs w:val="24"/>
        </w:rPr>
        <w:t xml:space="preserve">Endogeneity: Fixed effects control for time-invariant confounders, but time-varying confounders remain a concern. Countries may implement economic reforms or experience conflict escalation simultaneously with sanction imposition in ways that contaminate the estimates.</w:t>
      </w:r>
    </w:p>
    <w:p>
      <w:pPr>
        <w:spacing w:after="160"/>
      </w:pPr>
      <w:r>
        <w:rPr>
          <w:rFonts w:ascii="Times New Roman" w:cs="Calibri" w:eastAsia="Calibri" w:hAnsi="Times New Roman"/>
          <w:color w:val="000000"/>
          <w:sz w:val="24"/>
          <w:szCs w:val="24"/>
        </w:rPr>
        <w:t xml:space="preserve">Pooling heterogeneous episodes: The analysis pools comprehensive trade embargoes, targeted financial sanctions, arms embargoes, and visa restrictions into a single binary treatment. These instruments have very different transmission mechanisms and humanitarian footprints.</w:t>
      </w:r>
    </w:p>
    <w:p>
      <w:pPr>
        <w:pStyle w:val="Heading2"/>
        <w:spacing w:after="80" w:before="240"/>
      </w:pPr>
      <w:r>
        <w:rPr>
          <w:rFonts w:ascii="Times New Roman" w:cs="Calibri" w:eastAsia="Calibri" w:hAnsi="Times New Roman"/>
          <w:b/>
          <w:bCs/>
          <w:color w:val="000000"/>
          <w:sz w:val="26"/>
          <w:szCs w:val="26"/>
        </w:rPr>
        <w:t xml:space="preserve">7.2 Directions for Future Research</w:t>
      </w:r>
    </w:p>
    <w:p>
      <w:pPr>
        <w:spacing w:after="160"/>
      </w:pPr>
      <w:r>
        <w:rPr>
          <w:rFonts w:ascii="Times New Roman" w:cs="Calibri" w:eastAsia="Calibri" w:hAnsi="Times New Roman"/>
          <w:color w:val="000000"/>
          <w:sz w:val="24"/>
          <w:szCs w:val="24"/>
        </w:rPr>
        <w:t xml:space="preserve">Three methodological improvements would strengthen causal identification:</w:t>
      </w:r>
    </w:p>
    <w:p>
      <w:pPr>
        <w:spacing w:after="160"/>
      </w:pPr>
      <w:r>
        <w:rPr>
          <w:rFonts w:ascii="Times New Roman" w:cs="Calibri" w:eastAsia="Calibri" w:hAnsi="Times New Roman"/>
          <w:color w:val="000000"/>
          <w:sz w:val="24"/>
          <w:szCs w:val="24"/>
        </w:rPr>
        <w:t xml:space="preserve">Instrumental variables estimation: Identifying a valid instrument for sanction imposition — a variable that predicts which countries get sanctioned but does not directly affect civilian welfare — would allow stronger causal claims than fixed effects alone. Geographic distance from major sanctioning powers and alignment in UN General Assembly voting patterns are candidate instruments.</w:t>
      </w:r>
    </w:p>
    <w:p>
      <w:pPr>
        <w:spacing w:after="160"/>
      </w:pPr>
      <w:r>
        <w:rPr>
          <w:rFonts w:ascii="Times New Roman" w:cs="Calibri" w:eastAsia="Calibri" w:hAnsi="Times New Roman"/>
          <w:color w:val="000000"/>
          <w:sz w:val="24"/>
          <w:szCs w:val="24"/>
        </w:rPr>
        <w:t xml:space="preserve">Synthetic control method: For major sanction episodes — Iran, Russia, North Korea, Cuba — constructing a synthetic comparison country from the weighted combination of non-sanctioned countries would provide sharper case-level causal estimates than panel averages.</w:t>
      </w:r>
    </w:p>
    <w:p>
      <w:pPr>
        <w:spacing w:after="160"/>
      </w:pPr>
      <w:r>
        <w:rPr>
          <w:rFonts w:ascii="Times New Roman" w:cs="Calibri" w:eastAsia="Calibri" w:hAnsi="Times New Roman"/>
          <w:color w:val="000000"/>
          <w:sz w:val="24"/>
          <w:szCs w:val="24"/>
        </w:rPr>
        <w:t xml:space="preserve">Multiple imputation for poverty data: Using multiple imputation to recover missing poverty rate and Gini index values would allow welfare channel analysis through the inequality dimension that is currently limited by data sparseness.</w:t>
      </w:r>
    </w:p>
    <w:p>
      <w:pPr>
        <w:pStyle w:val="Heading1"/>
        <w:spacing w:after="120" w:before="360"/>
      </w:pPr>
      <w:r>
        <w:rPr>
          <w:rFonts w:ascii="Times New Roman" w:cs="Calibri" w:eastAsia="Calibri" w:hAnsi="Times New Roman"/>
          <w:b/>
          <w:bCs/>
          <w:color w:val="000000"/>
          <w:sz w:val="32"/>
          <w:szCs w:val="32"/>
        </w:rPr>
        <w:t xml:space="preserve">8. Conclusion</w:t>
      </w:r>
    </w:p>
    <w:p>
      <w:pPr>
        <w:spacing w:after="160"/>
      </w:pPr>
      <w:r>
        <w:rPr>
          <w:rFonts w:ascii="Times New Roman" w:cs="Calibri" w:eastAsia="Calibri" w:hAnsi="Times New Roman"/>
          <w:color w:val="000000"/>
          <w:sz w:val="24"/>
          <w:szCs w:val="24"/>
        </w:rPr>
        <w:t xml:space="preserve">This project provides a rigorous, data-driven assessment of the civilian consequences of international sanctions using a 30-year panel dataset of 190 countries. The analysis integrates four data sources, trains three machine learning models, and applies fixed-effects panel regression and event-study methods to identify causal effects.</w:t>
      </w:r>
    </w:p>
    <w:p>
      <w:pPr>
        <w:spacing w:after="160"/>
      </w:pPr>
      <w:r>
        <w:rPr>
          <w:rFonts w:ascii="Times New Roman" w:cs="Calibri" w:eastAsia="Calibri" w:hAnsi="Times New Roman"/>
          <w:color w:val="000000"/>
          <w:sz w:val="24"/>
          <w:szCs w:val="24"/>
        </w:rPr>
        <w:t xml:space="preserve">The central finding is that sanctioned countries show worse civilian welfare outcomes in raw comparisons, but this gap is largely attributable to selection bias — the fact that targeted countries were already more vulnerable before sanctions were imposed. After controlling for country and year fixed effects, the within-country sanction effect is small and not statistically significant across five welfare dimensions: child mortality, school enrollment, girls’ education, unemployment, and inflation.</w:t>
      </w:r>
    </w:p>
    <w:p>
      <w:pPr>
        <w:spacing w:after="160"/>
      </w:pPr>
      <w:r>
        <w:rPr>
          <w:rFonts w:ascii="Times New Roman" w:cs="Calibri" w:eastAsia="Calibri" w:hAnsi="Times New Roman"/>
          <w:color w:val="000000"/>
          <w:sz w:val="24"/>
          <w:szCs w:val="24"/>
        </w:rPr>
        <w:t xml:space="preserve">This is an honest and important result. It does not exonerate sanctions as a humanitarian-neutral policy tool, but it does caution against attributing all welfare deficits in sanctioned countries to the sanctions themselves. The data point toward a more nuanced picture: pre-existing structural fragility is the dominant driver of poor outcomes, and effective humanitarian policy must engage with that fragility directly.</w:t>
      </w:r>
    </w:p>
    <w:p>
      <w:pPr>
        <w:pStyle w:val="Heading1"/>
        <w:spacing w:after="120" w:before="360"/>
      </w:pPr>
      <w:r>
        <w:rPr>
          <w:rFonts w:ascii="Times New Roman" w:cs="Calibri" w:eastAsia="Calibri" w:hAnsi="Times New Roman"/>
          <w:b/>
          <w:bCs/>
          <w:color w:val="000000"/>
          <w:sz w:val="32"/>
          <w:szCs w:val="32"/>
        </w:rPr>
        <w:t xml:space="preserve">9. References</w:t>
      </w:r>
    </w:p>
    <w:p>
      <w:pPr>
        <w:spacing w:after="160"/>
      </w:pPr>
      <w:r>
        <w:rPr>
          <w:rFonts w:ascii="Times New Roman" w:cs="Calibri" w:eastAsia="Calibri" w:hAnsi="Times New Roman"/>
          <w:color w:val="000000"/>
          <w:sz w:val="24"/>
          <w:szCs w:val="24"/>
        </w:rPr>
        <w:t xml:space="preserve">Global Sanctions Database (GSDB). Accessed 2024.</w:t>
      </w:r>
    </w:p>
    <w:p>
      <w:pPr>
        <w:spacing w:after="160"/>
      </w:pPr>
      <w:r>
        <w:rPr>
          <w:rFonts w:ascii="Times New Roman" w:cs="Calibri" w:eastAsia="Calibri" w:hAnsi="Times New Roman"/>
          <w:color w:val="000000"/>
          <w:sz w:val="24"/>
          <w:szCs w:val="24"/>
        </w:rPr>
        <w:t xml:space="preserve">World Bank. World Development Indicators (WDI). Accessed 2024.</w:t>
      </w:r>
    </w:p>
    <w:p>
      <w:pPr>
        <w:spacing w:after="160"/>
      </w:pPr>
      <w:r>
        <w:rPr>
          <w:rFonts w:ascii="Times New Roman" w:cs="Calibri" w:eastAsia="Calibri" w:hAnsi="Times New Roman"/>
          <w:color w:val="000000"/>
          <w:sz w:val="24"/>
          <w:szCs w:val="24"/>
        </w:rPr>
        <w:t xml:space="preserve">United Nations Comtrade Database. Accessed 2024.</w:t>
      </w:r>
    </w:p>
    <w:p>
      <w:pPr>
        <w:spacing w:after="160"/>
      </w:pPr>
      <w:r>
        <w:rPr>
          <w:rFonts w:ascii="Times New Roman" w:cs="Calibri" w:eastAsia="Calibri" w:hAnsi="Times New Roman"/>
          <w:color w:val="000000"/>
          <w:sz w:val="24"/>
          <w:szCs w:val="24"/>
        </w:rPr>
        <w:t xml:space="preserve">UCDP Armed Conflict Dataset. Uppsala Conflict Data Program. Accessed 2024.</w:t>
      </w:r>
    </w:p>
    <w:p>
      <w:pPr>
        <w:spacing w:after="160"/>
      </w:pPr>
      <w:r>
        <w:rPr>
          <w:rFonts w:ascii="Times New Roman" w:cs="Calibri" w:eastAsia="Calibri" w:hAnsi="Times New Roman"/>
          <w:color w:val="000000"/>
          <w:sz w:val="24"/>
          <w:szCs w:val="24"/>
        </w:rPr>
        <w:t xml:space="preserve">Marshall, M. G., &amp; Gurr, T. R. Polity V Project. Center for Systemic Peace, 2020.</w:t>
      </w:r>
    </w:p>
    <w:p>
      <w:pPr>
        <w:spacing w:after="160"/>
      </w:pPr>
      <w:r>
        <w:rPr>
          <w:rFonts w:ascii="Times New Roman" w:cs="Calibri" w:eastAsia="Calibri" w:hAnsi="Times New Roman"/>
          <w:color w:val="000000"/>
          <w:sz w:val="24"/>
          <w:szCs w:val="24"/>
        </w:rPr>
        <w:t xml:space="preserve">Goemans, H. E., Gleditsch, K. S., &amp; Chiozza, G. Archigos: A Data Set on Leaders, 1875–2015.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375E" w:sz="6" w:space="1"/>
      </w:pBdr>
      <w:spacing w:before="120"/>
      <w:jc w:val="center"/>
    </w:pPr>
    <w:r>
      <w:rPr>
        <w:rFonts w:ascii="Times New Roman" w:hAnsi="Times New Roman"/>
        <w:color w:val="000000"/>
        <w:sz w:val="18"/>
      </w:rPr>
      <w:t>Introduction to Data Science  |  CAP 5771  |  University of Florida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375E" w:sz="6" w:space="1"/>
      </w:pBdr>
      <w:spacing w:after="120"/>
      <w:jc w:val="right"/>
    </w:pPr>
    <w:r>
      <w:rPr>
        <w:rFonts w:ascii="Calibri" w:cs="Calibri" w:eastAsia="Calibri" w:hAnsi="Calibri"/>
        <w:i/>
        <w:iCs/>
        <w:color w:val="888888"/>
        <w:sz w:val="18"/>
        <w:szCs w:val="18"/>
      </w:rPr>
      <w:t xml:space="preserve">Assessing the Civilian Impact of International Sanctions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7375E"/>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F497D"/>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bbheab8cnjo9fxjyky_" Type="http://schemas.openxmlformats.org/officeDocument/2006/relationships/hyperlink" Target="https://sanctions-civilian-wellbeing.streamlit.app"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2026-04-23T22:55:19.106Z</dcterms:created>
  <dcterms:modified xsi:type="dcterms:W3CDTF">2026-04-23T22:55:19.107Z</dcterms:modified>
</cp:coreProperties>
</file>

<file path=docProps/custom.xml><?xml version="1.0" encoding="utf-8"?>
<Properties xmlns="http://schemas.openxmlformats.org/officeDocument/2006/custom-properties" xmlns:vt="http://schemas.openxmlformats.org/officeDocument/2006/docPropsVTypes"/>
</file>