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6989" w14:textId="77777777" w:rsidR="00441239" w:rsidRPr="00D90E04" w:rsidRDefault="00441239" w:rsidP="00441239">
      <w:pPr>
        <w:pStyle w:val="PlainText"/>
        <w:jc w:val="center"/>
        <w:rPr>
          <w:rFonts w:ascii="Times New Roman" w:eastAsia="黑体" w:hAnsi="Times New Roman"/>
          <w:sz w:val="32"/>
          <w:szCs w:val="32"/>
        </w:rPr>
      </w:pPr>
      <w:r w:rsidRPr="00D90E04">
        <w:rPr>
          <w:rFonts w:ascii="Times New Roman" w:eastAsia="黑体" w:hAnsi="Times New Roman"/>
          <w:sz w:val="32"/>
          <w:szCs w:val="32"/>
        </w:rPr>
        <w:t>2021</w:t>
      </w:r>
      <w:r w:rsidRPr="00D90E04">
        <w:rPr>
          <w:rFonts w:ascii="Times New Roman" w:eastAsia="黑体" w:hAnsi="Times New Roman"/>
          <w:sz w:val="32"/>
          <w:szCs w:val="32"/>
        </w:rPr>
        <w:t>年河南财经政法大学数学建模培训题目</w:t>
      </w:r>
    </w:p>
    <w:p w14:paraId="240778AD" w14:textId="77777777" w:rsidR="00441239" w:rsidRPr="00D90E04" w:rsidRDefault="00441239" w:rsidP="00441239">
      <w:pPr>
        <w:jc w:val="center"/>
        <w:rPr>
          <w:rFonts w:ascii="Times New Roman" w:eastAsia="华文楷体" w:hAnsi="Times New Roman"/>
          <w:color w:val="0000CC"/>
          <w:sz w:val="28"/>
          <w:szCs w:val="28"/>
        </w:rPr>
      </w:pPr>
      <w:r w:rsidRPr="00D90E04">
        <w:rPr>
          <w:rFonts w:ascii="Times New Roman" w:eastAsia="华文楷体" w:hAnsi="Times New Roman"/>
          <w:color w:val="0000CC"/>
          <w:sz w:val="28"/>
          <w:szCs w:val="28"/>
        </w:rPr>
        <w:t>（请按照</w:t>
      </w:r>
      <w:r w:rsidRPr="00D90E04">
        <w:rPr>
          <w:rFonts w:ascii="Times New Roman" w:eastAsia="华文楷体" w:hAnsi="Times New Roman"/>
          <w:color w:val="0000CC"/>
          <w:sz w:val="28"/>
          <w:szCs w:val="28"/>
        </w:rPr>
        <w:t>2021</w:t>
      </w:r>
      <w:r w:rsidRPr="00D90E04">
        <w:rPr>
          <w:rFonts w:ascii="Times New Roman" w:eastAsia="华文楷体" w:hAnsi="Times New Roman"/>
          <w:color w:val="0000CC"/>
          <w:sz w:val="28"/>
          <w:szCs w:val="28"/>
        </w:rPr>
        <w:t>年数学建模竞赛论文模板进行写作）</w:t>
      </w:r>
    </w:p>
    <w:p w14:paraId="4DAD3866" w14:textId="77777777" w:rsidR="00441239" w:rsidRPr="00D90E04" w:rsidRDefault="00F43749" w:rsidP="00441239">
      <w:pPr>
        <w:adjustRightInd w:val="0"/>
        <w:snapToGrid w:val="0"/>
        <w:spacing w:line="240" w:lineRule="atLeast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pict w14:anchorId="2E2DBC16">
          <v:line id="直接连接符 1" o:spid="_x0000_s1027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1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" strokeweight="4.5pt">
            <v:stroke linestyle="thinThick"/>
            <o:lock v:ext="edit" shapetype="f"/>
          </v:line>
        </w:pict>
      </w:r>
    </w:p>
    <w:p w14:paraId="095979B3" w14:textId="77777777" w:rsidR="00CA577D" w:rsidRDefault="00441239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题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="0098681A" w:rsidRPr="00441239">
        <w:rPr>
          <w:rFonts w:ascii="Times New Roman" w:hAnsi="Times New Roman" w:cs="Times New Roman" w:hint="eastAsia"/>
          <w:b/>
          <w:bCs/>
          <w:sz w:val="32"/>
          <w:szCs w:val="32"/>
        </w:rPr>
        <w:t>应急物资分配决策</w:t>
      </w:r>
    </w:p>
    <w:p w14:paraId="1950C5B9" w14:textId="77777777" w:rsidR="005B0E23" w:rsidRDefault="0098681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大规模突发灾害经常导致大量人员伤亡和设施损毁，因此政府通常会依据</w:t>
      </w:r>
      <w:r w:rsidRPr="005B0E23">
        <w:rPr>
          <w:rFonts w:ascii="Times New Roman" w:hAnsi="Times New Roman" w:cs="Times New Roman" w:hint="eastAsia"/>
          <w:sz w:val="24"/>
          <w:szCs w:val="24"/>
          <w:highlight w:val="yellow"/>
        </w:rPr>
        <w:t>受灾点的人口数、伤员数和灾害等级强度</w:t>
      </w:r>
      <w:r>
        <w:rPr>
          <w:rFonts w:ascii="Times New Roman" w:hAnsi="Times New Roman" w:cs="Times New Roman" w:hint="eastAsia"/>
          <w:sz w:val="24"/>
          <w:szCs w:val="24"/>
        </w:rPr>
        <w:t>，向受灾严重、物资需求量大的地区运输应急救援物资。</w:t>
      </w:r>
    </w:p>
    <w:p w14:paraId="489E76EF" w14:textId="1B940A03" w:rsidR="00CA577D" w:rsidRDefault="0098681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政府</w:t>
      </w:r>
      <w:r w:rsidRPr="005B0E23">
        <w:rPr>
          <w:rFonts w:ascii="Times New Roman" w:hAnsi="Times New Roman" w:cs="Times New Roman" w:hint="eastAsia"/>
          <w:sz w:val="24"/>
          <w:szCs w:val="24"/>
          <w:highlight w:val="yellow"/>
        </w:rPr>
        <w:t>首先</w:t>
      </w:r>
      <w:r>
        <w:rPr>
          <w:rFonts w:ascii="Times New Roman" w:hAnsi="Times New Roman" w:cs="Times New Roman" w:hint="eastAsia"/>
          <w:sz w:val="24"/>
          <w:szCs w:val="24"/>
        </w:rPr>
        <w:t>依据受灾点的人口数量、伤员数量对物资需求进行预估，</w:t>
      </w:r>
      <w:r w:rsidRPr="005B0E23">
        <w:rPr>
          <w:rFonts w:ascii="Times New Roman" w:hAnsi="Times New Roman" w:cs="Times New Roman" w:hint="eastAsia"/>
          <w:sz w:val="24"/>
          <w:szCs w:val="24"/>
          <w:highlight w:val="yellow"/>
        </w:rPr>
        <w:t>然后</w:t>
      </w:r>
      <w:r>
        <w:rPr>
          <w:rFonts w:ascii="Times New Roman" w:hAnsi="Times New Roman" w:cs="Times New Roman" w:hint="eastAsia"/>
          <w:sz w:val="24"/>
          <w:szCs w:val="24"/>
        </w:rPr>
        <w:t>依据成本、公平性等因素来确定物资运输策略</w:t>
      </w:r>
      <w:r>
        <w:rPr>
          <w:rFonts w:ascii="Times New Roman" w:hAnsi="Times New Roman" w:cs="Times New Roman" w:hint="eastAsia"/>
          <w:sz w:val="24"/>
        </w:rPr>
        <w:t>。</w:t>
      </w:r>
    </w:p>
    <w:p w14:paraId="3D630A6F" w14:textId="77777777" w:rsidR="005B0E23" w:rsidRDefault="005B0E2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5105BE0" w14:textId="77777777" w:rsidR="005B0E23" w:rsidRDefault="0098681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灾后，政府需要对受灾点的需求进行</w:t>
      </w:r>
      <w:r w:rsidRPr="005B0E23">
        <w:rPr>
          <w:rFonts w:ascii="Times New Roman" w:hAnsi="Times New Roman" w:cs="Times New Roman" w:hint="eastAsia"/>
          <w:color w:val="FF0000"/>
          <w:sz w:val="24"/>
        </w:rPr>
        <w:t>评估</w:t>
      </w:r>
      <w:r>
        <w:rPr>
          <w:rFonts w:ascii="Times New Roman" w:hAnsi="Times New Roman" w:cs="Times New Roman" w:hint="eastAsia"/>
          <w:sz w:val="24"/>
        </w:rPr>
        <w:t>，其中，</w:t>
      </w:r>
      <w:r w:rsidRPr="005B0E23">
        <w:rPr>
          <w:rFonts w:ascii="Times New Roman" w:hAnsi="Times New Roman" w:cs="Times New Roman" w:hint="eastAsia"/>
          <w:sz w:val="24"/>
          <w:highlight w:val="yellow"/>
        </w:rPr>
        <w:t>伤员数量约为人口数量的</w:t>
      </w:r>
      <w:r w:rsidRPr="005B0E23">
        <w:rPr>
          <w:rFonts w:ascii="Times New Roman" w:hAnsi="Times New Roman" w:cs="Times New Roman" w:hint="eastAsia"/>
          <w:sz w:val="24"/>
          <w:highlight w:val="yellow"/>
        </w:rPr>
        <w:t>3%</w:t>
      </w:r>
      <w:r>
        <w:rPr>
          <w:rFonts w:ascii="Times New Roman" w:hAnsi="Times New Roman" w:cs="Times New Roman" w:hint="eastAsia"/>
          <w:sz w:val="24"/>
        </w:rPr>
        <w:t>，</w:t>
      </w:r>
      <w:r w:rsidRPr="005B0E23">
        <w:rPr>
          <w:rFonts w:ascii="Times New Roman" w:hAnsi="Times New Roman" w:cs="Times New Roman" w:hint="eastAsia"/>
          <w:sz w:val="24"/>
          <w:highlight w:val="yellow"/>
        </w:rPr>
        <w:t>无家可归者数量约为人口数量的</w:t>
      </w:r>
      <w:r w:rsidRPr="005B0E23">
        <w:rPr>
          <w:rFonts w:ascii="Times New Roman" w:hAnsi="Times New Roman" w:cs="Times New Roman" w:hint="eastAsia"/>
          <w:sz w:val="24"/>
          <w:highlight w:val="yellow"/>
        </w:rPr>
        <w:t>15%</w:t>
      </w:r>
      <w:r>
        <w:rPr>
          <w:rFonts w:ascii="Times New Roman" w:hAnsi="Times New Roman" w:cs="Times New Roman" w:hint="eastAsia"/>
          <w:sz w:val="24"/>
        </w:rPr>
        <w:t>，然后从不同的应急储备库运送应急救援物资到不同受灾点；不同应急储备库所储备的物资及数量不同。</w:t>
      </w:r>
    </w:p>
    <w:p w14:paraId="42BA6C34" w14:textId="77777777" w:rsidR="005B0E23" w:rsidRDefault="0098681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1061F">
        <w:rPr>
          <w:rFonts w:ascii="Times New Roman" w:hAnsi="Times New Roman" w:cs="Times New Roman" w:hint="eastAsia"/>
          <w:sz w:val="24"/>
          <w:highlight w:val="yellow"/>
        </w:rPr>
        <w:t>考虑到灾后需求量的激增，应急储备库的应急物资可能无法满足需求，考虑到公平性分配的原则，政府需要</w:t>
      </w:r>
      <w:r w:rsidRPr="005B0E23">
        <w:rPr>
          <w:rFonts w:ascii="Times New Roman" w:hAnsi="Times New Roman" w:cs="Times New Roman" w:hint="eastAsia"/>
          <w:color w:val="FF0000"/>
          <w:sz w:val="24"/>
          <w:highlight w:val="yellow"/>
        </w:rPr>
        <w:t>权衡</w:t>
      </w:r>
      <w:r w:rsidRPr="00A1061F">
        <w:rPr>
          <w:rFonts w:ascii="Times New Roman" w:hAnsi="Times New Roman" w:cs="Times New Roman" w:hint="eastAsia"/>
          <w:sz w:val="24"/>
          <w:highlight w:val="yellow"/>
        </w:rPr>
        <w:t>不同受灾</w:t>
      </w:r>
      <w:proofErr w:type="gramStart"/>
      <w:r w:rsidRPr="00A1061F">
        <w:rPr>
          <w:rFonts w:ascii="Times New Roman" w:hAnsi="Times New Roman" w:cs="Times New Roman" w:hint="eastAsia"/>
          <w:sz w:val="24"/>
          <w:highlight w:val="yellow"/>
        </w:rPr>
        <w:t>点需求</w:t>
      </w:r>
      <w:proofErr w:type="gramEnd"/>
      <w:r w:rsidRPr="00A1061F">
        <w:rPr>
          <w:rFonts w:ascii="Times New Roman" w:hAnsi="Times New Roman" w:cs="Times New Roman" w:hint="eastAsia"/>
          <w:sz w:val="24"/>
          <w:highlight w:val="yellow"/>
        </w:rPr>
        <w:t>的满足率。</w:t>
      </w:r>
    </w:p>
    <w:p w14:paraId="02457D6E" w14:textId="0FA186BB" w:rsidR="00CA577D" w:rsidRDefault="0098681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附件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给出了应急物资储备量、运输时间、人口数量、惩罚成本以及运输成本。请你们团队依据实际和附件中的数据信息，通过建立数学模型研究政府的应急物资分配策略，主要解决如下问题：</w:t>
      </w:r>
    </w:p>
    <w:p w14:paraId="3EE986D4" w14:textId="77777777" w:rsidR="00CA577D" w:rsidRDefault="0098681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(1)</w:t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对附件中不同受灾点一天的需求进行量化分析，给出分配给不同受灾点的不同种类物资数量。</w:t>
      </w:r>
    </w:p>
    <w:p w14:paraId="1FE650C1" w14:textId="50C3A7FC" w:rsidR="00CA577D" w:rsidRDefault="0098681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(2)</w:t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大规模突发灾害通常导致交通设施的</w:t>
      </w:r>
      <w:r w:rsidRPr="00CD11EB">
        <w:rPr>
          <w:rFonts w:ascii="Times New Roman" w:hAnsi="Times New Roman" w:cs="Times New Roman" w:hint="eastAsia"/>
          <w:sz w:val="24"/>
          <w:highlight w:val="yellow"/>
        </w:rPr>
        <w:t>损毁</w:t>
      </w:r>
      <w:r>
        <w:rPr>
          <w:rFonts w:ascii="Times New Roman" w:hAnsi="Times New Roman" w:cs="Times New Roman" w:hint="eastAsia"/>
          <w:sz w:val="24"/>
        </w:rPr>
        <w:t>，并且对伤员人数和无家可归人数有所影响。假设伤员数量约为人口数量的</w:t>
      </w:r>
      <w:r>
        <w:rPr>
          <w:rFonts w:ascii="Times New Roman" w:hAnsi="Times New Roman" w:cs="Times New Roman" w:hint="eastAsia"/>
          <w:sz w:val="24"/>
        </w:rPr>
        <w:t>3%~6%</w:t>
      </w:r>
      <w:r>
        <w:rPr>
          <w:rFonts w:ascii="Times New Roman" w:hAnsi="Times New Roman" w:cs="Times New Roman" w:hint="eastAsia"/>
          <w:sz w:val="24"/>
        </w:rPr>
        <w:t>，无家可归者数量约为总人口数量的</w:t>
      </w:r>
      <w:r>
        <w:rPr>
          <w:rFonts w:ascii="Times New Roman" w:hAnsi="Times New Roman" w:cs="Times New Roman" w:hint="eastAsia"/>
          <w:sz w:val="24"/>
        </w:rPr>
        <w:t>15%~30%</w:t>
      </w:r>
      <w:r>
        <w:rPr>
          <w:rFonts w:ascii="Times New Roman" w:hAnsi="Times New Roman" w:cs="Times New Roman" w:hint="eastAsia"/>
          <w:sz w:val="24"/>
        </w:rPr>
        <w:t>，请给出该情形下应急物资分配策略。</w:t>
      </w:r>
      <w:r w:rsidR="009E1C0E">
        <w:rPr>
          <w:rFonts w:ascii="Times New Roman" w:hAnsi="Times New Roman" w:cs="Times New Roman" w:hint="eastAsia"/>
          <w:sz w:val="24"/>
        </w:rPr>
        <w:t xml:space="preserve"> </w:t>
      </w:r>
    </w:p>
    <w:p w14:paraId="61B4CF82" w14:textId="77777777" w:rsidR="00CA577D" w:rsidRDefault="00CA577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0898E6F" w14:textId="77777777" w:rsidR="00CA577D" w:rsidRDefault="0098681A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b/>
          <w:sz w:val="24"/>
        </w:rPr>
        <w:t>附件</w:t>
      </w:r>
      <w:r>
        <w:rPr>
          <w:rFonts w:ascii="Times New Roman" w:eastAsia="宋体" w:hAnsi="Times New Roman" w:cs="Times New Roman" w:hint="eastAsia"/>
          <w:b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 6</w:t>
      </w:r>
      <w:r>
        <w:rPr>
          <w:rFonts w:ascii="Times New Roman" w:eastAsia="宋体" w:hAnsi="Times New Roman" w:cs="Times New Roman"/>
          <w:sz w:val="24"/>
        </w:rPr>
        <w:t>个应急物资储备库、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个受灾点、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种应急物资的相关数据</w:t>
      </w:r>
    </w:p>
    <w:p w14:paraId="682A1ADA" w14:textId="77777777" w:rsidR="00CA577D" w:rsidRDefault="00CA577D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32551801" w14:textId="77777777" w:rsidR="00CA577D" w:rsidRDefault="0098681A">
      <w:pPr>
        <w:spacing w:line="360" w:lineRule="auto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附件中数据说明</w:t>
      </w:r>
      <w:r>
        <w:rPr>
          <w:rFonts w:ascii="Times New Roman" w:eastAsia="宋体" w:hAnsi="Times New Roman" w:cs="Times New Roman" w:hint="eastAsia"/>
          <w:b/>
        </w:rPr>
        <w:t>：</w:t>
      </w:r>
    </w:p>
    <w:p w14:paraId="0586AD0B" w14:textId="77777777" w:rsidR="00CA577D" w:rsidRDefault="0098681A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</w:rPr>
        <w:t>应急物资储备量：</w:t>
      </w:r>
      <w:r>
        <w:rPr>
          <w:rFonts w:ascii="Times New Roman" w:eastAsia="宋体" w:hAnsi="Times New Roman" w:cs="Times New Roman" w:hint="eastAsia"/>
        </w:rPr>
        <w:t>不同应急物资储备库储备的不同种类物资数量。</w:t>
      </w:r>
    </w:p>
    <w:p w14:paraId="1AA927D6" w14:textId="77777777" w:rsidR="00CA577D" w:rsidRDefault="0098681A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</w:rPr>
        <w:t>运输时间：</w:t>
      </w:r>
      <w:r>
        <w:rPr>
          <w:rFonts w:ascii="Times New Roman" w:eastAsia="宋体" w:hAnsi="Times New Roman" w:cs="Times New Roman" w:hint="eastAsia"/>
        </w:rPr>
        <w:t>不同应急储备库和不同受灾点间的运输时间。</w:t>
      </w:r>
    </w:p>
    <w:p w14:paraId="6669EFFE" w14:textId="77777777" w:rsidR="00CA577D" w:rsidRDefault="0098681A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</w:rPr>
        <w:t>人口数量：</w:t>
      </w:r>
      <w:r>
        <w:rPr>
          <w:rFonts w:ascii="Times New Roman" w:eastAsia="宋体" w:hAnsi="Times New Roman" w:cs="Times New Roman" w:hint="eastAsia"/>
        </w:rPr>
        <w:t>不同受灾点的人口统计数量。</w:t>
      </w:r>
    </w:p>
    <w:p w14:paraId="0928C668" w14:textId="77777777" w:rsidR="00CA577D" w:rsidRDefault="0098681A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</w:rPr>
        <w:t>惩罚成本：</w:t>
      </w:r>
      <w:r>
        <w:rPr>
          <w:rFonts w:ascii="Times New Roman" w:eastAsia="宋体" w:hAnsi="Times New Roman" w:cs="Times New Roman" w:hint="eastAsia"/>
        </w:rPr>
        <w:t>不同种类应急物资未满足的单位惩罚成本；不同受灾点间未满足需求差值的单</w:t>
      </w:r>
      <w:r>
        <w:rPr>
          <w:rFonts w:ascii="Times New Roman" w:eastAsia="宋体" w:hAnsi="Times New Roman" w:cs="Times New Roman" w:hint="eastAsia"/>
        </w:rPr>
        <w:lastRenderedPageBreak/>
        <w:t>位惩罚成本。</w:t>
      </w:r>
    </w:p>
    <w:p w14:paraId="7C50432B" w14:textId="77777777" w:rsidR="00CA577D" w:rsidRDefault="0098681A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</w:rPr>
        <w:t>运输成本：</w:t>
      </w:r>
      <w:r>
        <w:rPr>
          <w:rFonts w:ascii="Times New Roman" w:eastAsia="宋体" w:hAnsi="Times New Roman" w:cs="Times New Roman" w:hint="eastAsia"/>
        </w:rPr>
        <w:t>每单位时间单位物资的运输成本。</w:t>
      </w:r>
    </w:p>
    <w:sectPr w:rsidR="00CA577D" w:rsidSect="00CA577D"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E71F5" w14:textId="77777777" w:rsidR="00F43749" w:rsidRDefault="00F43749" w:rsidP="00D24972">
      <w:r>
        <w:separator/>
      </w:r>
    </w:p>
  </w:endnote>
  <w:endnote w:type="continuationSeparator" w:id="0">
    <w:p w14:paraId="1F83B8AF" w14:textId="77777777" w:rsidR="00F43749" w:rsidRDefault="00F43749" w:rsidP="00D2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74C6" w14:textId="77777777" w:rsidR="00F43749" w:rsidRDefault="00F43749" w:rsidP="00D24972">
      <w:r>
        <w:separator/>
      </w:r>
    </w:p>
  </w:footnote>
  <w:footnote w:type="continuationSeparator" w:id="0">
    <w:p w14:paraId="7CF0FC70" w14:textId="77777777" w:rsidR="00F43749" w:rsidRDefault="00F43749" w:rsidP="00D24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129B"/>
    <w:multiLevelType w:val="multilevel"/>
    <w:tmpl w:val="0C0D129B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A20"/>
    <w:rsid w:val="00010541"/>
    <w:rsid w:val="0001318D"/>
    <w:rsid w:val="00030981"/>
    <w:rsid w:val="000417D6"/>
    <w:rsid w:val="0005085B"/>
    <w:rsid w:val="00072840"/>
    <w:rsid w:val="0007497D"/>
    <w:rsid w:val="00091F79"/>
    <w:rsid w:val="00092BD6"/>
    <w:rsid w:val="000A0343"/>
    <w:rsid w:val="000A1B97"/>
    <w:rsid w:val="000A2338"/>
    <w:rsid w:val="000B0E08"/>
    <w:rsid w:val="000B6092"/>
    <w:rsid w:val="000C1869"/>
    <w:rsid w:val="000E1052"/>
    <w:rsid w:val="000F19CC"/>
    <w:rsid w:val="00144401"/>
    <w:rsid w:val="00150496"/>
    <w:rsid w:val="001637D2"/>
    <w:rsid w:val="00171362"/>
    <w:rsid w:val="0018036A"/>
    <w:rsid w:val="0019261F"/>
    <w:rsid w:val="001A5DB0"/>
    <w:rsid w:val="001C2553"/>
    <w:rsid w:val="001F00ED"/>
    <w:rsid w:val="001F1CA0"/>
    <w:rsid w:val="002126A9"/>
    <w:rsid w:val="0021722E"/>
    <w:rsid w:val="00224460"/>
    <w:rsid w:val="00261AC7"/>
    <w:rsid w:val="002869AD"/>
    <w:rsid w:val="002A1B41"/>
    <w:rsid w:val="002D100B"/>
    <w:rsid w:val="002E268B"/>
    <w:rsid w:val="00317600"/>
    <w:rsid w:val="00320AFA"/>
    <w:rsid w:val="0033395E"/>
    <w:rsid w:val="0033644D"/>
    <w:rsid w:val="00364198"/>
    <w:rsid w:val="00367B43"/>
    <w:rsid w:val="00382332"/>
    <w:rsid w:val="003C7D65"/>
    <w:rsid w:val="003E167D"/>
    <w:rsid w:val="003F0BA5"/>
    <w:rsid w:val="004042F6"/>
    <w:rsid w:val="00432A49"/>
    <w:rsid w:val="00440151"/>
    <w:rsid w:val="00441239"/>
    <w:rsid w:val="00446F6E"/>
    <w:rsid w:val="00475C66"/>
    <w:rsid w:val="00495363"/>
    <w:rsid w:val="00496624"/>
    <w:rsid w:val="00511430"/>
    <w:rsid w:val="00514DA8"/>
    <w:rsid w:val="005272F2"/>
    <w:rsid w:val="005B0E23"/>
    <w:rsid w:val="005B17BA"/>
    <w:rsid w:val="005B20CF"/>
    <w:rsid w:val="005B381D"/>
    <w:rsid w:val="005E7259"/>
    <w:rsid w:val="005F2490"/>
    <w:rsid w:val="005F76F1"/>
    <w:rsid w:val="00614B7E"/>
    <w:rsid w:val="00617684"/>
    <w:rsid w:val="00656EC8"/>
    <w:rsid w:val="00662C3D"/>
    <w:rsid w:val="00664935"/>
    <w:rsid w:val="00672877"/>
    <w:rsid w:val="0068084A"/>
    <w:rsid w:val="006A459F"/>
    <w:rsid w:val="006A61D4"/>
    <w:rsid w:val="006B4902"/>
    <w:rsid w:val="006B62AA"/>
    <w:rsid w:val="006D08C3"/>
    <w:rsid w:val="006D2422"/>
    <w:rsid w:val="006E1070"/>
    <w:rsid w:val="006F04F0"/>
    <w:rsid w:val="00701B80"/>
    <w:rsid w:val="007237FF"/>
    <w:rsid w:val="00736DA1"/>
    <w:rsid w:val="00743FE5"/>
    <w:rsid w:val="00764C7C"/>
    <w:rsid w:val="00766DCA"/>
    <w:rsid w:val="00782840"/>
    <w:rsid w:val="007A12E1"/>
    <w:rsid w:val="007A69C2"/>
    <w:rsid w:val="007C37CD"/>
    <w:rsid w:val="007E1CB8"/>
    <w:rsid w:val="007F7FC2"/>
    <w:rsid w:val="00813FCA"/>
    <w:rsid w:val="008245D3"/>
    <w:rsid w:val="0083192C"/>
    <w:rsid w:val="00853944"/>
    <w:rsid w:val="00854441"/>
    <w:rsid w:val="00866F13"/>
    <w:rsid w:val="00886032"/>
    <w:rsid w:val="00890208"/>
    <w:rsid w:val="008D7460"/>
    <w:rsid w:val="008E6F3D"/>
    <w:rsid w:val="00907970"/>
    <w:rsid w:val="00921080"/>
    <w:rsid w:val="00921FB1"/>
    <w:rsid w:val="009806B7"/>
    <w:rsid w:val="0098681A"/>
    <w:rsid w:val="009A1D92"/>
    <w:rsid w:val="009A2342"/>
    <w:rsid w:val="009A4F41"/>
    <w:rsid w:val="009B5587"/>
    <w:rsid w:val="009C48AD"/>
    <w:rsid w:val="009C57D8"/>
    <w:rsid w:val="009D1DBD"/>
    <w:rsid w:val="009E1C0E"/>
    <w:rsid w:val="009E2CAF"/>
    <w:rsid w:val="00A1061F"/>
    <w:rsid w:val="00A33163"/>
    <w:rsid w:val="00A678CF"/>
    <w:rsid w:val="00A752DC"/>
    <w:rsid w:val="00A819C6"/>
    <w:rsid w:val="00AA30AF"/>
    <w:rsid w:val="00AA47AB"/>
    <w:rsid w:val="00AC7DCC"/>
    <w:rsid w:val="00B07D67"/>
    <w:rsid w:val="00B15A20"/>
    <w:rsid w:val="00B37199"/>
    <w:rsid w:val="00B62FE1"/>
    <w:rsid w:val="00B63FE3"/>
    <w:rsid w:val="00BA3798"/>
    <w:rsid w:val="00BB2498"/>
    <w:rsid w:val="00BC5AA3"/>
    <w:rsid w:val="00BE0F67"/>
    <w:rsid w:val="00BF5E0D"/>
    <w:rsid w:val="00C13EAB"/>
    <w:rsid w:val="00C35FA4"/>
    <w:rsid w:val="00C46C55"/>
    <w:rsid w:val="00C62563"/>
    <w:rsid w:val="00C74389"/>
    <w:rsid w:val="00C77153"/>
    <w:rsid w:val="00C866DD"/>
    <w:rsid w:val="00CA577D"/>
    <w:rsid w:val="00CB7ED9"/>
    <w:rsid w:val="00CC3520"/>
    <w:rsid w:val="00CC710D"/>
    <w:rsid w:val="00CD11EB"/>
    <w:rsid w:val="00CE6E6D"/>
    <w:rsid w:val="00D179F6"/>
    <w:rsid w:val="00D2483B"/>
    <w:rsid w:val="00D24972"/>
    <w:rsid w:val="00D37B46"/>
    <w:rsid w:val="00D472C5"/>
    <w:rsid w:val="00D55C99"/>
    <w:rsid w:val="00D57546"/>
    <w:rsid w:val="00D73BE7"/>
    <w:rsid w:val="00D75946"/>
    <w:rsid w:val="00D85F5A"/>
    <w:rsid w:val="00D95040"/>
    <w:rsid w:val="00DA60B4"/>
    <w:rsid w:val="00DA7A6C"/>
    <w:rsid w:val="00DB0133"/>
    <w:rsid w:val="00DD4CDC"/>
    <w:rsid w:val="00DF2A44"/>
    <w:rsid w:val="00E23694"/>
    <w:rsid w:val="00E34C13"/>
    <w:rsid w:val="00E41FC0"/>
    <w:rsid w:val="00E43CAE"/>
    <w:rsid w:val="00E47082"/>
    <w:rsid w:val="00E53D56"/>
    <w:rsid w:val="00E558A6"/>
    <w:rsid w:val="00E64E0F"/>
    <w:rsid w:val="00E657D7"/>
    <w:rsid w:val="00E7073B"/>
    <w:rsid w:val="00E71B84"/>
    <w:rsid w:val="00E72D2D"/>
    <w:rsid w:val="00E749E6"/>
    <w:rsid w:val="00E76BBD"/>
    <w:rsid w:val="00E92ECF"/>
    <w:rsid w:val="00EA7E6B"/>
    <w:rsid w:val="00EE015C"/>
    <w:rsid w:val="00EE5B9A"/>
    <w:rsid w:val="00EE60EC"/>
    <w:rsid w:val="00F05D2A"/>
    <w:rsid w:val="00F06376"/>
    <w:rsid w:val="00F12397"/>
    <w:rsid w:val="00F2203D"/>
    <w:rsid w:val="00F43749"/>
    <w:rsid w:val="00F44021"/>
    <w:rsid w:val="00F45499"/>
    <w:rsid w:val="00F55FD2"/>
    <w:rsid w:val="00F618D6"/>
    <w:rsid w:val="00F8136E"/>
    <w:rsid w:val="00F81D42"/>
    <w:rsid w:val="00F86063"/>
    <w:rsid w:val="00FC76CB"/>
    <w:rsid w:val="00FE3DAF"/>
    <w:rsid w:val="00FE69D5"/>
    <w:rsid w:val="015D098F"/>
    <w:rsid w:val="01CF0047"/>
    <w:rsid w:val="075A0ED9"/>
    <w:rsid w:val="09640C62"/>
    <w:rsid w:val="0AFA363D"/>
    <w:rsid w:val="0B7D49E1"/>
    <w:rsid w:val="0EBD5E97"/>
    <w:rsid w:val="1057147F"/>
    <w:rsid w:val="1CDD1EFA"/>
    <w:rsid w:val="251D0856"/>
    <w:rsid w:val="26994446"/>
    <w:rsid w:val="288E4D1A"/>
    <w:rsid w:val="2BA01C19"/>
    <w:rsid w:val="2D1F39B0"/>
    <w:rsid w:val="2F9A6F1E"/>
    <w:rsid w:val="39596373"/>
    <w:rsid w:val="3C9A0AFC"/>
    <w:rsid w:val="3E373588"/>
    <w:rsid w:val="3F4A7070"/>
    <w:rsid w:val="4977689F"/>
    <w:rsid w:val="4A153EF5"/>
    <w:rsid w:val="544F0512"/>
    <w:rsid w:val="564C6E38"/>
    <w:rsid w:val="61C164CF"/>
    <w:rsid w:val="649A6BB0"/>
    <w:rsid w:val="65D75BD7"/>
    <w:rsid w:val="6DBF1466"/>
    <w:rsid w:val="6E861B1A"/>
    <w:rsid w:val="73860D18"/>
    <w:rsid w:val="76532837"/>
    <w:rsid w:val="77024017"/>
    <w:rsid w:val="77F24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63A2BEA"/>
  <w15:docId w15:val="{4E3FF699-4D94-4388-BE7D-AC80DF68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577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A577D"/>
    <w:pPr>
      <w:jc w:val="left"/>
    </w:pPr>
  </w:style>
  <w:style w:type="paragraph" w:styleId="BalloonText">
    <w:name w:val="Balloon Text"/>
    <w:basedOn w:val="Normal"/>
    <w:link w:val="BalloonTextChar"/>
    <w:rsid w:val="00CA577D"/>
    <w:rPr>
      <w:sz w:val="18"/>
      <w:szCs w:val="18"/>
    </w:rPr>
  </w:style>
  <w:style w:type="paragraph" w:styleId="Footer">
    <w:name w:val="footer"/>
    <w:basedOn w:val="Normal"/>
    <w:link w:val="FooterChar"/>
    <w:rsid w:val="00CA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rsid w:val="00CA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CA577D"/>
    <w:rPr>
      <w:b/>
      <w:bCs/>
    </w:rPr>
  </w:style>
  <w:style w:type="character" w:styleId="CommentReference">
    <w:name w:val="annotation reference"/>
    <w:basedOn w:val="DefaultParagraphFont"/>
    <w:qFormat/>
    <w:rsid w:val="00CA577D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A577D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qFormat/>
    <w:rsid w:val="00CA577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CA577D"/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577D"/>
    <w:rPr>
      <w:kern w:val="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CA577D"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rsid w:val="00CA577D"/>
    <w:rPr>
      <w:b/>
      <w:bCs/>
      <w:kern w:val="2"/>
      <w:sz w:val="21"/>
      <w:szCs w:val="22"/>
    </w:rPr>
  </w:style>
  <w:style w:type="paragraph" w:customStyle="1" w:styleId="1">
    <w:name w:val="修订1"/>
    <w:hidden/>
    <w:uiPriority w:val="99"/>
    <w:semiHidden/>
    <w:qFormat/>
    <w:rsid w:val="00CA577D"/>
    <w:rPr>
      <w:kern w:val="2"/>
      <w:sz w:val="21"/>
      <w:szCs w:val="22"/>
    </w:rPr>
  </w:style>
  <w:style w:type="paragraph" w:styleId="PlainText">
    <w:name w:val="Plain Text"/>
    <w:basedOn w:val="Normal"/>
    <w:link w:val="PlainTextChar"/>
    <w:uiPriority w:val="99"/>
    <w:rsid w:val="00441239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441239"/>
    <w:rPr>
      <w:rFonts w:ascii="宋体" w:hAnsi="Courier New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EA90A43-6542-4B73-A0DA-4C1979498B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Song Shichao</cp:lastModifiedBy>
  <cp:revision>42</cp:revision>
  <cp:lastPrinted>2020-07-24T02:02:00Z</cp:lastPrinted>
  <dcterms:created xsi:type="dcterms:W3CDTF">2020-08-20T11:00:00Z</dcterms:created>
  <dcterms:modified xsi:type="dcterms:W3CDTF">2021-09-02T12:37:00Z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