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가온 북항 컨테이너 부두 준공 및 교훈 보고서</w:t>
      </w:r>
    </w:p>
    <w:p>
      <w:r>
        <w:t>P04-BRF-001 | Rev01 | APPROVED | 2022-01-02</w:t>
      </w:r>
    </w:p>
    <w:p>
      <w:r>
        <w:t>본 사업은 2021-11-18 인도를 완료했다. 주요 사건의 비용과 변경 승인액을 구분해 정산했으며, 아래 교훈의 적용 조건을 후속 사업 검토에 사용한다.</w:t>
      </w:r>
    </w:p>
    <w:p>
      <w:pPr>
        <w:pStyle w:val="Heading1"/>
      </w:pPr>
      <w:r>
        <w:t>사업 범위와 기본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사업 조건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사업번호 / 영문명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P04 / Gaon North Port Berth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발주처 / 재원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가온 공공개발청 / 공공예산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국가와 지역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가온국 연안 (가상 지역)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범위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안벽 680 m, 준설 240만 m3, 야드 26 ha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계약 방식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실측정산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342.00 USD million / 세금 제외 / JV 전체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당사 JV 지분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45%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착수 / 기준 준공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2018-05-01 / 2021-10-12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공기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42개월 (자료군의 일정 월은 30일 환산)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지반 / 시공법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연약 해성점토 / 염수 / 심층혼합 및 말뚝</w:t>
            </w:r>
          </w:p>
        </w:tc>
      </w:tr>
    </w:tbl>
    <w:p/>
    <w:p>
      <w:pPr>
        <w:pStyle w:val="Heading2"/>
      </w:pPr>
      <w:r>
        <w:t>책임 경계</w:t>
      </w:r>
    </w:p>
    <w:p>
      <w:r>
        <w:t>JV 전체 금액과 당사 지분금액을 혼용하지 않는다. 발주처 지급자재는 별도 인수목록으로 관리하며, 본 금액에는 토지 취득비와 금융비용이 포함되지 않는다.</w:t>
      </w:r>
    </w:p>
    <w:p>
      <w:r>
        <w:br w:type="page"/>
      </w:r>
    </w:p>
    <w:p>
      <w:pPr>
        <w:pStyle w:val="Heading1"/>
      </w:pPr>
      <w:r>
        <w:t>주요 사건과 재사용 조건</w:t>
      </w:r>
    </w:p>
    <w:p>
      <w:pPr>
        <w:pStyle w:val="Heading2"/>
      </w:pPr>
      <w:r>
        <w:t>P04-LL01 연약지반 압밀과 인도 시점</w:t>
      </w:r>
    </w:p>
    <w:p>
      <w:r>
        <w:t>야드 B구역 침하가 관리기준에 도달하지 않아 포장 인도가 지연됐다.</w:t>
      </w:r>
    </w:p>
    <w:p>
      <w:pPr>
        <w:pStyle w:val="Heading2"/>
      </w:pPr>
      <w:r>
        <w:t>대응과 후속 조치</w:t>
      </w:r>
    </w:p>
    <w:p>
      <w:r>
        <w:t>관측자료로 구역별 압밀 종료를 판단하고 선행 운영구역과 후속 침하관리구역을 분리했다.</w:t>
      </w:r>
    </w:p>
    <w:p>
      <w:pPr>
        <w:pStyle w:val="Heading2"/>
      </w:pPr>
      <w:r>
        <w:t>다른 프로젝트에 적용할 때 확인할 조건</w:t>
      </w:r>
    </w:p>
    <w:p>
      <w:r>
        <w:t>해성점토 지반의 일정 여유 검토에 적용한다. 모래층의 즉시 배수 거동과 동일하게 취급하지 않는다.</w:t>
      </w:r>
    </w:p>
    <w:p>
      <w:pPr>
        <w:pStyle w:val="Heading2"/>
      </w:pPr>
      <w:r>
        <w:t>P04-LL02 선행조건과 인터페이스</w:t>
      </w:r>
    </w:p>
    <w:p>
      <w:r>
        <w:t>준설토 일부에서 허가 조건을 넘는 오염물질이 검출되어 일반 투기장을 사용할 수 없었다.</w:t>
      </w:r>
    </w:p>
    <w:p>
      <w:pPr>
        <w:pStyle w:val="Heading2"/>
      </w:pPr>
      <w:r>
        <w:t>대응과 후속 조치</w:t>
      </w:r>
    </w:p>
    <w:p>
      <w:r>
        <w:t>준설토 성상 조사와 반출처 허가를 입찰 전 확인한다.</w:t>
      </w:r>
    </w:p>
    <w:p>
      <w:pPr>
        <w:pStyle w:val="Heading2"/>
      </w:pPr>
      <w:r>
        <w:t>다른 프로젝트에 적용할 때 확인할 조건</w:t>
      </w:r>
    </w:p>
    <w:p>
      <w:r>
        <w:t>현장 조건과 계약 책임을 확인한 뒤 절차를 재사용한다. 관찰된 금액과 기간은 자동으로 전용하지 않는다.</w:t>
      </w:r>
    </w:p>
    <w:p>
      <w:pPr>
        <w:pStyle w:val="Heading2"/>
      </w:pPr>
      <w:r>
        <w:t>근거 연결</w:t>
      </w:r>
    </w:p>
    <w:p>
      <w:r>
        <w:t>P04-RISK-001의 P04-R01 및 P04-R02, P04-MOM-001의 결정 D01, P04-COM-001의 Cost 시트를 함께 확인한다. 동일 사건을 각각 별도 손실로 합산하지 않는다.</w:t>
      </w:r>
    </w:p>
    <w:p>
      <w:r>
        <w:br w:type="page"/>
      </w:r>
    </w:p>
    <w:p>
      <w:pPr>
        <w:pStyle w:val="Heading1"/>
      </w:pPr>
      <w:r>
        <w:t>계약 통지와 정산 결과</w:t>
      </w:r>
    </w:p>
    <w:p>
      <w:pPr>
        <w:pStyle w:val="Heading2"/>
      </w:pPr>
      <w:r>
        <w:t>P04-LL03</w:t>
      </w:r>
    </w:p>
    <w:p>
      <w:r>
        <w:t>사건 관련 제출액 7.6 USD million 중 4.2 USD million이 승인되었다. 미승인분은 시공사 부담으로 종결했다.</w:t>
      </w:r>
    </w:p>
    <w:p>
      <w:pPr>
        <w:pStyle w:val="Heading2"/>
      </w:pPr>
      <w:r>
        <w:t>후속 프로젝트 관리 절차</w:t>
      </w:r>
    </w:p>
    <w:p>
      <w:r>
        <w:t>최초 인지일과 28일 통지기한을 기록하고 원인·원가·일정 증빙을 문서번호로 연결한다.</w:t>
      </w:r>
    </w:p>
    <w:p>
      <w:pPr>
        <w:pStyle w:val="Heading2"/>
      </w:pPr>
      <w:r>
        <w:t>적용 제한</w:t>
      </w:r>
    </w:p>
    <w:p>
      <w:r>
        <w:t>이 사례의 통지기한은 28일이다. 신규 계약의 기한과 우선순위가 확인되지 않으면 그대로 적용하지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정산 항목</w:t>
            </w:r>
          </w:p>
        </w:tc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USD million 또는 일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원계약금액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342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실행예산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300.96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사건 추가원가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7.6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최종원가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308.56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승인 변경금액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4.2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최종 계약수입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346.2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기준 대비 실제 지연일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37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승인 EOT 일수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미보상 지연일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지체상금 산정액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0.855</w:t>
            </w:r>
          </w:p>
        </w:tc>
      </w:tr>
    </w:tbl>
    <w:p/>
    <w:p>
      <w:pPr>
        <w:pStyle w:val="Heading2"/>
      </w:pPr>
      <w:r>
        <w:t>금액과 기간의 해석</w:t>
      </w:r>
    </w:p>
    <w:p>
      <w:r>
        <w:t>사건 추가원가는 최종원가에 이미 포함되어 있다. 승인 변경금액은 수입이며 추가원가에서 차감해 원가를 표시하지 않는다. 지체상금은 별도 공제항목이다. EOT 승인 일수는 실제 지연에서 공제하며, 금액 승인과 동일한 권리가 아니다.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4"/>
      </w:rPr>
      <w:t>SYNTHETIC DATA | 모든 기관·사업·수치·조건은 해커톤용 가상 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oto Sans KR" w:hAnsi="Noto Sans KR" w:eastAsia="Noto Sans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KR" w:hAnsi="Noto Sans KR" w:eastAsia="Noto Sans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KR" w:hAnsi="Noto Sans KR" w:eastAsia="Noto Sans KR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Noto Sans KR" w:hAnsi="Noto Sans KR" w:eastAsia="Noto Sans KR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Fictional infrastructure project dataset</dc:subject>
  <dc:creator>REBUILD Synthetic Data Studio</dc:creator>
  <cp:keywords>SYNTHETIC, REBUILD, hackathon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