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청라 해수담수화 취수시설 준공 및 교훈 보고서</w:t>
      </w:r>
    </w:p>
    <w:p>
      <w:r>
        <w:t>P06-BRF-001 | Rev01 | APPROVED | 2023-02-20</w:t>
      </w:r>
    </w:p>
    <w:p>
      <w:r>
        <w:t>본 사업은 2023-01-06 인도를 완료했다. 주요 사건의 비용과 변경 승인액을 구분해 정산했으며, 아래 교훈의 적용 조건을 후속 사업 검토에 사용한다.</w:t>
      </w:r>
    </w:p>
    <w:p>
      <w:pPr>
        <w:pStyle w:val="Heading1"/>
      </w:pPr>
      <w:r>
        <w:t>사업 범위와 기본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사업 조건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사업번호 / 영문명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P06 / Cheongra Desalination Intake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발주처 / 재원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청라 공공개발청 / 공공사업채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국가와 지역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청라국 연안 (가상 지역)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범위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취수능력 12만 m3/day, 취수관 2.6 km, 펌프장 1개소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 방식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설계시공 일괄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221.00 USD million / 세금 제외 / JV 전체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당사 JV 지분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착수 / 기준 준공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2020-03-01 / 2022-12-16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공기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34개월 (자료군의 일정 월은 30일 환산)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지반 / 시공법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해성사층 / 고염분 / 취수관 매설 및 해수처리</w:t>
            </w:r>
          </w:p>
        </w:tc>
      </w:tr>
    </w:tbl>
    <w:p/>
    <w:p>
      <w:pPr>
        <w:pStyle w:val="Heading2"/>
      </w:pPr>
      <w:r>
        <w:t>책임 경계</w:t>
      </w:r>
    </w:p>
    <w:p>
      <w:r>
        <w:t>JV 전체 금액과 당사 지분금액을 혼용하지 않는다. 발주처 지급자재는 별도 인수목록으로 관리하며, 본 금액에는 토지 취득비와 금융비용이 포함되지 않는다.</w:t>
      </w:r>
    </w:p>
    <w:p>
      <w:r>
        <w:br w:type="page"/>
      </w:r>
    </w:p>
    <w:p>
      <w:pPr>
        <w:pStyle w:val="Heading1"/>
      </w:pPr>
      <w:r>
        <w:t>주요 사건과 재사용 조건</w:t>
      </w:r>
    </w:p>
    <w:p>
      <w:pPr>
        <w:pStyle w:val="Heading2"/>
      </w:pPr>
      <w:r>
        <w:t>P06-LL01 염수 배수와 처리설비</w:t>
      </w:r>
    </w:p>
    <w:p>
      <w:r>
        <w:t>굴착수 염화물 농도 8200 mg/L로 인해 담수용 방류처리안 승인을 받지 못했다.</w:t>
      </w:r>
    </w:p>
    <w:p>
      <w:pPr>
        <w:pStyle w:val="Heading2"/>
      </w:pPr>
      <w:r>
        <w:t>대응과 후속 조치</w:t>
      </w:r>
    </w:p>
    <w:p>
      <w:r>
        <w:t>내염성 펌프와 별도 저장조를 사용하고 임시처리 후 지정 방류지점으로 이송했다.</w:t>
      </w:r>
    </w:p>
    <w:p>
      <w:pPr>
        <w:pStyle w:val="Heading2"/>
      </w:pPr>
      <w:r>
        <w:t>다른 프로젝트에 적용할 때 확인할 조건</w:t>
      </w:r>
    </w:p>
    <w:p>
      <w:r>
        <w:t>염수 영향 현장에는 수질 분석과 처리경로 검토 절차를 적용한다. 과거 처리단가와 설비 용량은 유량·수질·허가 조건에 맞춰 다시 산정한다.</w:t>
      </w:r>
    </w:p>
    <w:p>
      <w:pPr>
        <w:pStyle w:val="Heading2"/>
      </w:pPr>
      <w:r>
        <w:t>P06-LL02 선행조건과 인터페이스</w:t>
      </w:r>
    </w:p>
    <w:p>
      <w:r>
        <w:t>취수펌프 승인도서가 4주 늦어져 공장검사 일정도 이동했다.</w:t>
      </w:r>
    </w:p>
    <w:p>
      <w:pPr>
        <w:pStyle w:val="Heading2"/>
      </w:pPr>
      <w:r>
        <w:t>대응과 후속 조치</w:t>
      </w:r>
    </w:p>
    <w:p>
      <w:r>
        <w:t>승인도서 제출과 제작 착수의 선행조건을 구매 일정에 명시한다.</w:t>
      </w:r>
    </w:p>
    <w:p>
      <w:pPr>
        <w:pStyle w:val="Heading2"/>
      </w:pPr>
      <w:r>
        <w:t>다른 프로젝트에 적용할 때 확인할 조건</w:t>
      </w:r>
    </w:p>
    <w:p>
      <w:r>
        <w:t>현장 조건과 계약 책임을 확인한 뒤 절차를 재사용한다. 관찰된 금액과 기간은 자동으로 전용하지 않는다.</w:t>
      </w:r>
    </w:p>
    <w:p>
      <w:pPr>
        <w:pStyle w:val="Heading2"/>
      </w:pPr>
      <w:r>
        <w:t>근거 연결</w:t>
      </w:r>
    </w:p>
    <w:p>
      <w:r>
        <w:t>P06-RISK-001의 P06-R01 및 P06-R02, P06-MOM-001의 결정 D01, P06-COM-001의 Cost 시트를 함께 확인한다. 동일 사건을 각각 별도 손실로 합산하지 않는다.</w:t>
      </w:r>
    </w:p>
    <w:p>
      <w:r>
        <w:br w:type="page"/>
      </w:r>
    </w:p>
    <w:p>
      <w:pPr>
        <w:pStyle w:val="Heading1"/>
      </w:pPr>
      <w:r>
        <w:t>계약 통지와 정산 결과</w:t>
      </w:r>
    </w:p>
    <w:p>
      <w:pPr>
        <w:pStyle w:val="Heading2"/>
      </w:pPr>
      <w:r>
        <w:t>P06-LL03</w:t>
      </w:r>
    </w:p>
    <w:p>
      <w:r>
        <w:t>사건 관련 제출액 4.3 USD million 중 2.7 USD million이 승인되었다. 미승인분은 시공사 부담으로 종결했다.</w:t>
      </w:r>
    </w:p>
    <w:p>
      <w:pPr>
        <w:pStyle w:val="Heading2"/>
      </w:pPr>
      <w:r>
        <w:t>후속 프로젝트 관리 절차</w:t>
      </w:r>
    </w:p>
    <w:p>
      <w:r>
        <w:t>최초 인지일과 14일 통지기한을 기록하고 원인·원가·일정 증빙을 문서번호로 연결한다.</w:t>
      </w:r>
    </w:p>
    <w:p>
      <w:pPr>
        <w:pStyle w:val="Heading2"/>
      </w:pPr>
      <w:r>
        <w:t>적용 제한</w:t>
      </w:r>
    </w:p>
    <w:p>
      <w:r>
        <w:t>이 사례의 통지기한은 14일이다. 신규 계약의 기한과 우선순위가 확인되지 않으면 그대로 적용하지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정산 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USD million 또는 일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원계약금액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221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실행예산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194.48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사건 추가원가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4.3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198.78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변경금액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2.7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 계약수입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223.7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기준 대비 실제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EOT 일수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미보상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지체상금 산정액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0.221</w:t>
            </w:r>
          </w:p>
        </w:tc>
      </w:tr>
    </w:tbl>
    <w:p/>
    <w:p>
      <w:pPr>
        <w:pStyle w:val="Heading2"/>
      </w:pPr>
      <w:r>
        <w:t>금액과 기간의 해석</w:t>
      </w:r>
    </w:p>
    <w:p>
      <w:r>
        <w:t>사건 추가원가는 최종원가에 이미 포함되어 있다. 승인 변경금액은 수입이며 추가원가에서 차감해 원가를 표시하지 않는다. 지체상금은 별도 공제항목이다. EOT 승인 일수는 실제 지연에서 공제하며, 금액 승인과 동일한 권리가 아니다.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