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아람 산업단지 폐수처리 준공 및 교훈 보고서</w:t>
      </w:r>
    </w:p>
    <w:p>
      <w:r>
        <w:t>P08-BRF-001 | Rev01 | APPROVED | 2018-06-22</w:t>
      </w:r>
    </w:p>
    <w:p>
      <w:r>
        <w:t>본 사업은 2018-05-08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P08 / Aram Industrial Wastewater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아람 공공개발청 / 개발기금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아람국 공업지대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처리용량 4만 m3/day, 조정조 2기, 고도처리동 1개소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96.00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2016-05-01 / 2018-04-21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24개월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성토층 / 기존 관로 밀집 / 생물반응조 및 막처리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P08-LL01 원수 성상 변경과 성능보증</w:t>
      </w:r>
    </w:p>
    <w:p>
      <w:r>
        <w:t>설계 기준보다 높은 염분과 유입부하가 들어와 막처리 성능시험을 재수행했다.</w:t>
      </w:r>
    </w:p>
    <w:p>
      <w:pPr>
        <w:pStyle w:val="Heading2"/>
      </w:pPr>
      <w:r>
        <w:t>대응과 후속 조치</w:t>
      </w:r>
    </w:p>
    <w:p>
      <w:r>
        <w:t>유입수 허용범위를 계약 부속표로 다시 확인하고 전처리 보완비를 변경협의했다.</w:t>
      </w:r>
    </w:p>
    <w:p>
      <w:pPr>
        <w:pStyle w:val="Heading2"/>
      </w:pPr>
      <w:r>
        <w:t>다른 프로젝트에 적용할 때 확인할 조건</w:t>
      </w:r>
    </w:p>
    <w:p>
      <w:r>
        <w:t>수처리 성능보증은 유입수 범위와 함께 비교한다. 산업폐수 수치를 음용 정수장 기준으로 직접 옮기지 않는다.</w:t>
      </w:r>
    </w:p>
    <w:p>
      <w:pPr>
        <w:pStyle w:val="Heading2"/>
      </w:pPr>
      <w:r>
        <w:t>P08-LL02 선행조건과 인터페이스</w:t>
      </w:r>
    </w:p>
    <w:p>
      <w:r>
        <w:t>시약 납품 지연으로 시운전 기간에 대체 시약을 검증했다.</w:t>
      </w:r>
    </w:p>
    <w:p>
      <w:pPr>
        <w:pStyle w:val="Heading2"/>
      </w:pPr>
      <w:r>
        <w:t>대응과 후속 조치</w:t>
      </w:r>
    </w:p>
    <w:p>
      <w:r>
        <w:t>시약 변경은 공정 성능과 배출 조건을 확인한 뒤 승인받는다.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P08-RISK-001의 P08-R01 및 P08-R02, P08-MOM-001의 결정 D01, P08-COM-001의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P08-LL03</w:t>
      </w:r>
    </w:p>
    <w:p>
      <w:r>
        <w:t>사건 관련 제출액 1.9 USD million 중 1.1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84.48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1.9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86.38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97.1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0.192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