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미르 수력발전 도수터널 준공 및 교훈 보고서</w:t>
      </w:r>
    </w:p>
    <w:p>
      <w:r>
        <w:t>P10-BRF-001 | Rev01 | APPROVED | 2022-05-07</w:t>
      </w:r>
    </w:p>
    <w:p>
      <w:r>
        <w:t>본 사업은 2022-03-23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P10 / Mir Hydropower Headrace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미르 공공개발청 / 공공예산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미르국 산악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도수터널 9.2 km, 조압수조 1개, 발전수로 1.4 km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실측정산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318.00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2018-03-01 / 2022-02-08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48개월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편마암 / 단층 파쇄대 / TBM 및 국부 NATM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P10-LL01 고수압 파쇄대와 굴진 중단</w:t>
      </w:r>
    </w:p>
    <w:p>
      <w:r>
        <w:t>도수터널 전방 파쇄대에서 유입량 95 m3/h를 기록해 TBM 정비공간을 확보하지 못했다.</w:t>
      </w:r>
    </w:p>
    <w:p>
      <w:pPr>
        <w:pStyle w:val="Heading2"/>
      </w:pPr>
      <w:r>
        <w:t>대응과 후속 조치</w:t>
      </w:r>
    </w:p>
    <w:p>
      <w:r>
        <w:t>전방 주입 후 우회 배수관을 설치하고 유입량 안정 확인 뒤 굴진을 재개했다.</w:t>
      </w:r>
    </w:p>
    <w:p>
      <w:pPr>
        <w:pStyle w:val="Heading2"/>
      </w:pPr>
      <w:r>
        <w:t>다른 프로젝트에 적용할 때 확인할 조건</w:t>
      </w:r>
    </w:p>
    <w:p>
      <w:r>
        <w:t>압력수 터널의 조사와 비상 대응에 참고한다. 도시 침하 민감 구역에는 무제한 배수를 적용하지 않는다.</w:t>
      </w:r>
    </w:p>
    <w:p>
      <w:pPr>
        <w:pStyle w:val="Heading2"/>
      </w:pPr>
      <w:r>
        <w:t>P10-LL02 선행조건과 인터페이스</w:t>
      </w:r>
    </w:p>
    <w:p>
      <w:r>
        <w:t>수입 베어링 통관이 늦어 예비품 재고 하한을 상향했다.</w:t>
      </w:r>
    </w:p>
    <w:p>
      <w:pPr>
        <w:pStyle w:val="Heading2"/>
      </w:pPr>
      <w:r>
        <w:t>대응과 후속 조치</w:t>
      </w:r>
    </w:p>
    <w:p>
      <w:r>
        <w:t>장비 고장 영향과 조달 리드타임을 함께 비교한다.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P10-RISK-001의 P10-R01 및 P10-R02, P10-MOM-001의 결정 D01, P10-COM-001의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P10-LL03</w:t>
      </w:r>
    </w:p>
    <w:p>
      <w:r>
        <w:t>사건 관련 제출액 8.2 USD million 중 5.5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28일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28일이다.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318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279.84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8.2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288.04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323.5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0.954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