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비온 복합물류센터 지하공사 준공 및 교훈 보고서</w:t>
      </w:r>
    </w:p>
    <w:p>
      <w:r>
        <w:t>P12-BRF-001 | Rev01 | APPROVED | 2022-04-20</w:t>
      </w:r>
    </w:p>
    <w:p>
      <w:r>
        <w:t>본 사업은 2022-03-06 인도를 완료했다. 주요 사건의 비용과 변경 승인액을 구분해 정산했으며, 아래 교훈의 적용 조건을 후속 사업 검토에 사용한다.</w:t>
      </w:r>
    </w:p>
    <w:p>
      <w:pPr>
        <w:pStyle w:val="Heading1"/>
      </w:pPr>
      <w:r>
        <w:t>사업 범위와 기본 조건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사업 조건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사업번호 / 영문명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P12 / Bion Logistics Basement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발주처 / 재원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비온 공공개발청 / 공공사업채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국가와 지역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비온국 신도시 (가상 지역)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범위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지하 3층 7.2만 m2, 굴착깊이 18 m, 물류램프 2개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 방식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총액도급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132,000.00 KRW million / 세금 제외 / JV 전체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당사 JV 지분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100%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착수 / 기준 준공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2020-05-01 / 2022-02-20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계획 공기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22개월 (자료군의 일정 월은 30일 환산)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지반 / 시공법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매립토 / 인접 건물 / 탑다운 및 지하연속벽</w:t>
            </w:r>
          </w:p>
        </w:tc>
      </w:tr>
    </w:tbl>
    <w:p/>
    <w:p>
      <w:pPr>
        <w:pStyle w:val="Heading2"/>
      </w:pPr>
      <w:r>
        <w:t>책임 경계</w:t>
      </w:r>
    </w:p>
    <w:p>
      <w:r>
        <w:t>JV 전체 금액과 당사 지분금액을 혼용하지 않는다. 발주처 지급자재는 별도 인수목록으로 관리하며, 본 금액에는 토지 취득비와 금융비용이 포함되지 않는다.</w:t>
      </w:r>
    </w:p>
    <w:p>
      <w:r>
        <w:br w:type="page"/>
      </w:r>
    </w:p>
    <w:p>
      <w:pPr>
        <w:pStyle w:val="Heading1"/>
      </w:pPr>
      <w:r>
        <w:t>주요 사건과 재사용 조건</w:t>
      </w:r>
    </w:p>
    <w:p>
      <w:pPr>
        <w:pStyle w:val="Heading2"/>
      </w:pPr>
      <w:r>
        <w:t>P12-LL01 흙막이 변위와 설계 인터페이스</w:t>
      </w:r>
    </w:p>
    <w:p>
      <w:r>
        <w:t>탑다운 슬래브 개구부 변경으로 임시 지지 조건이 바뀌었으나 굴착계획에 반영되지 않았다.</w:t>
      </w:r>
    </w:p>
    <w:p>
      <w:pPr>
        <w:pStyle w:val="Heading2"/>
      </w:pPr>
      <w:r>
        <w:t>대응과 후속 조치</w:t>
      </w:r>
    </w:p>
    <w:p>
      <w:r>
        <w:t>구조·가시설 담당자의 공동 검토 이후 굴착 단계를 재승인했다.</w:t>
      </w:r>
    </w:p>
    <w:p>
      <w:pPr>
        <w:pStyle w:val="Heading2"/>
      </w:pPr>
      <w:r>
        <w:t>다른 프로젝트에 적용할 때 확인할 조건</w:t>
      </w:r>
    </w:p>
    <w:p>
      <w:r>
        <w:t>설계변경 인터페이스 관리에 적용한다. 건축 지하층의 지지 조건을 도시철도 구조에 그대로 대입하지 않는다.</w:t>
      </w:r>
    </w:p>
    <w:p>
      <w:pPr>
        <w:pStyle w:val="Heading2"/>
      </w:pPr>
      <w:r>
        <w:t>P12-LL02 선행조건과 인터페이스</w:t>
      </w:r>
    </w:p>
    <w:p>
      <w:r>
        <w:t>지하수 재주입 계획에 대한 인접 토지 동의가 늦어져 보완공법을 검토했다.</w:t>
      </w:r>
    </w:p>
    <w:p>
      <w:pPr>
        <w:pStyle w:val="Heading2"/>
      </w:pPr>
      <w:r>
        <w:t>대응과 후속 조치</w:t>
      </w:r>
    </w:p>
    <w:p>
      <w:r>
        <w:t>기술적 가능성과 제3자 사용권을 별도 확인한다.</w:t>
      </w:r>
    </w:p>
    <w:p>
      <w:pPr>
        <w:pStyle w:val="Heading2"/>
      </w:pPr>
      <w:r>
        <w:t>다른 프로젝트에 적용할 때 확인할 조건</w:t>
      </w:r>
    </w:p>
    <w:p>
      <w:r>
        <w:t>현장 조건과 계약 책임을 확인한 뒤 절차를 재사용한다. 관찰된 금액과 기간은 자동으로 전용하지 않는다.</w:t>
      </w:r>
    </w:p>
    <w:p>
      <w:pPr>
        <w:pStyle w:val="Heading2"/>
      </w:pPr>
      <w:r>
        <w:t>근거 연결</w:t>
      </w:r>
    </w:p>
    <w:p>
      <w:r>
        <w:t>P12-RISK-001의 P12-R01 및 P12-R02, P12-MOM-001의 결정 D01, P12-COM-001의 Cost 시트를 함께 확인한다. 동일 사건을 각각 별도 손실로 합산하지 않는다.</w:t>
      </w:r>
    </w:p>
    <w:p>
      <w:r>
        <w:br w:type="page"/>
      </w:r>
    </w:p>
    <w:p>
      <w:pPr>
        <w:pStyle w:val="Heading1"/>
      </w:pPr>
      <w:r>
        <w:t>계약 통지와 정산 결과</w:t>
      </w:r>
    </w:p>
    <w:p>
      <w:pPr>
        <w:pStyle w:val="Heading2"/>
      </w:pPr>
      <w:r>
        <w:t>P12-LL03</w:t>
      </w:r>
    </w:p>
    <w:p>
      <w:r>
        <w:t>사건 관련 제출액 2600 KRW million 중 900 KRW million이 승인되었다. 미승인분은 시공사 부담으로 종결했다.</w:t>
      </w:r>
    </w:p>
    <w:p>
      <w:pPr>
        <w:pStyle w:val="Heading2"/>
      </w:pPr>
      <w:r>
        <w:t>후속 프로젝트 관리 절차</w:t>
      </w:r>
    </w:p>
    <w:p>
      <w:r>
        <w:t>최초 인지일과 7일 통지기한을 기록하고 원인·원가·일정 증빙을 문서번호로 연결한다.</w:t>
      </w:r>
    </w:p>
    <w:p>
      <w:pPr>
        <w:pStyle w:val="Heading2"/>
      </w:pPr>
      <w:r>
        <w:t>적용 제한</w:t>
      </w:r>
    </w:p>
    <w:p>
      <w:r>
        <w:t>이 사례의 통지기한은 7일이다. 신규 계약의 기한과 우선순위가 확인되지 않으면 그대로 적용하지 않는다.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/>
        </w:trPr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정산 항목</w:t>
            </w:r>
          </w:p>
        </w:tc>
        <w:tc>
          <w:tcPr>
            <w:tcW w:type="dxa" w:w="5083"/>
            <w:shd w:fill="18334D"/>
          </w:tcPr>
          <w:p>
            <w:r>
              <w:rPr>
                <w:b/>
                <w:color w:val="FFFFFF"/>
                <w:sz w:val="18"/>
              </w:rPr>
              <w:t>KRW million 또는 일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원계약금액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132000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실행예산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116160.0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사건 추가원가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2600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최종원가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118760.0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변경금액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900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최종 계약수입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132900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기준 대비 실제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14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승인 EOT 일수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미보상 지연일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3</w:t>
            </w:r>
          </w:p>
        </w:tc>
      </w:tr>
      <w:tr>
        <w:tc>
          <w:tcPr>
            <w:tcW w:type="dxa" w:w="5083"/>
          </w:tcPr>
          <w:p>
            <w:r>
              <w:rPr>
                <w:sz w:val="18"/>
              </w:rPr>
              <w:t>지체상금 산정액</w:t>
            </w:r>
          </w:p>
        </w:tc>
        <w:tc>
          <w:tcPr>
            <w:tcW w:type="dxa" w:w="5083"/>
          </w:tcPr>
          <w:p>
            <w:r>
              <w:rPr>
                <w:sz w:val="18"/>
              </w:rPr>
              <w:t>198.0</w:t>
            </w:r>
          </w:p>
        </w:tc>
      </w:tr>
    </w:tbl>
    <w:p/>
    <w:p>
      <w:pPr>
        <w:pStyle w:val="Heading2"/>
      </w:pPr>
      <w:r>
        <w:t>금액과 기간의 해석</w:t>
      </w:r>
    </w:p>
    <w:p>
      <w:r>
        <w:t>사건 추가원가는 최종원가에 이미 포함되어 있다. 승인 변경금액은 수입이며 추가원가에서 차감해 원가를 표시하지 않는다. 지체상금은 별도 공제항목이다. EOT 승인 일수는 실제 지연에서 공제하며, 금액 승인과 동일한 권리가 아니다.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4"/>
      </w:rPr>
      <w:t>SYNTHETIC DATA | 모든 기관·사업·수치·조건은 해커톤용 가상 자료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Noto Sans KR" w:hAnsi="Noto Sans KR" w:eastAsia="Noto Sans KR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Noto Sans KR" w:hAnsi="Noto Sans KR" w:eastAsia="Noto Sans KR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Noto Sans KR" w:hAnsi="Noto Sans KR" w:eastAsia="Noto Sans KR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="Noto Sans KR" w:hAnsi="Noto Sans KR" w:eastAsia="Noto Sans KR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Fictional infrastructure project dataset</dc:subject>
  <dc:creator>REBUILD Synthetic Data Studio</dc:creator>
  <cp:keywords>SYNTHETIC, REBUILD, hackathon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