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라온 항만 배후철도 준공 및 교훈 보고서</w:t>
      </w:r>
    </w:p>
    <w:p>
      <w:r>
        <w:t>P13-BRF-001 | Rev01 | APPROVED | 2017-08-13</w:t>
      </w:r>
    </w:p>
    <w:p>
      <w:r>
        <w:t>본 사업은 2017-06-29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P13 / Raon Port Access Rail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라온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라온국 연안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철도노반 12.4 km, 배수암거 19개, 교량 3개소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실측정산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147.00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2015-02-01 / 2017-06-20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29개월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연약점토 / 염수 / 성토 및 압밀촉진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P13-LL01 문서 유효본과 승인 상태</w:t>
      </w:r>
    </w:p>
    <w:p>
      <w:r>
        <w:t>수정번호가 높은 배수계획 Rev03이 검토용이었으나 현장 작업자가 시공 승인본으로 오인했다.</w:t>
      </w:r>
    </w:p>
    <w:p>
      <w:pPr>
        <w:pStyle w:val="Heading2"/>
      </w:pPr>
      <w:r>
        <w:t>대응과 후속 조치</w:t>
      </w:r>
    </w:p>
    <w:p>
      <w:r>
        <w:t>Rev02 승인본을 배포하고 문서대장에 상태·승인일·대체관계를 함께 기록했다.</w:t>
      </w:r>
    </w:p>
    <w:p>
      <w:pPr>
        <w:pStyle w:val="Heading2"/>
      </w:pPr>
      <w:r>
        <w:t>다른 프로젝트에 적용할 때 확인할 조건</w:t>
      </w:r>
    </w:p>
    <w:p>
      <w:r>
        <w:t>문서의 수정번호만으로 유효본을 선택하지 않는 관리 절차는 공종과 무관하게 재사용할 수 있다.</w:t>
      </w:r>
    </w:p>
    <w:p>
      <w:pPr>
        <w:pStyle w:val="Heading2"/>
      </w:pPr>
      <w:r>
        <w:t>P13-LL02 선행조건과 인터페이스</w:t>
      </w:r>
    </w:p>
    <w:p>
      <w:r>
        <w:t>현장 지급자재 인수 수량과 송장 수량이 달라 정산을 보류했다.</w:t>
      </w:r>
    </w:p>
    <w:p>
      <w:pPr>
        <w:pStyle w:val="Heading2"/>
      </w:pPr>
      <w:r>
        <w:t>대응과 후속 조치</w:t>
      </w:r>
    </w:p>
    <w:p>
      <w:r>
        <w:t>수량·단위·인수일을 원본별로 대조하고 차이를 승인받는다.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P13-RISK-001의 P13-R01 및 P13-R02, P13-MOM-001의 결정 D01, P13-COM-001의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P13-LL03</w:t>
      </w:r>
    </w:p>
    <w:p>
      <w:r>
        <w:t>사건 관련 제출액 1.2 USD million 중 0.4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129.36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130.56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147.4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0.294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