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세온 데이터센터 기반시설 준공 및 교훈 보고서</w:t>
      </w:r>
    </w:p>
    <w:p>
      <w:r>
        <w:t>P14-BRF-001 | Rev01 | APPROVED | 2017-12-26</w:t>
      </w:r>
    </w:p>
    <w:p>
      <w:r>
        <w:t>본 사업은 2017-11-11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P14 / Seon Data Campus Utilities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세온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세온국 수도권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공동구 1.8 km, 변전동 1개, 냉각수관 4.2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112.00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2016-03-01 / 2017-10-22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풍화암 / 매설관로 / 공동구 및 전력 인입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P14-LL01 전력 인입과 장기납기</w:t>
      </w:r>
    </w:p>
    <w:p>
      <w:r>
        <w:t>주변압기 형식 승인에 6주가 추가되어 수전일과 통합시험일이 충돌했다.</w:t>
      </w:r>
    </w:p>
    <w:p>
      <w:pPr>
        <w:pStyle w:val="Heading2"/>
      </w:pPr>
      <w:r>
        <w:t>대응과 후속 조치</w:t>
      </w:r>
    </w:p>
    <w:p>
      <w:r>
        <w:t>공급사 승인도서와 공장시험을 일정에 연결하고 임시전원 사용 범위를 발주처와 합의했다.</w:t>
      </w:r>
    </w:p>
    <w:p>
      <w:pPr>
        <w:pStyle w:val="Heading2"/>
      </w:pPr>
      <w:r>
        <w:t>다른 프로젝트에 적용할 때 확인할 조건</w:t>
      </w:r>
    </w:p>
    <w:p>
      <w:r>
        <w:t>장기납기 설비의 승인·제작·검사·운송 선행관계에 적용한다. 임시전원이 성능시험 조건을 충족하는지는 별도로 확인한다.</w:t>
      </w:r>
    </w:p>
    <w:p>
      <w:pPr>
        <w:pStyle w:val="Heading2"/>
      </w:pPr>
      <w:r>
        <w:t>P14-LL02 선행조건과 인터페이스</w:t>
      </w:r>
    </w:p>
    <w:p>
      <w:r>
        <w:t>공동구 냉각수관의 접속 책임 경계가 불명확해 인터페이스 회의를 추가했다.</w:t>
      </w:r>
    </w:p>
    <w:p>
      <w:pPr>
        <w:pStyle w:val="Heading2"/>
      </w:pPr>
      <w:r>
        <w:t>대응과 후속 조치</w:t>
      </w:r>
    </w:p>
    <w:p>
      <w:r>
        <w:t>공종별 인도 지점과 시험 책임을 인터페이스 표로 확정한다.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P14-RISK-001의 P14-R01 및 P14-R02, P14-MOM-001의 결정 D01, P14-COM-001의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P14-LL03</w:t>
      </w:r>
    </w:p>
    <w:p>
      <w:r>
        <w:t>사건 관련 제출액 2.8 USD million 중 1.6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98.56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101.36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113.6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0.28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