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다솔 동부 광역정수장 입찰 사전검토 자료</w:t>
      </w:r>
    </w:p>
    <w:p>
      <w:r>
        <w:t>N02-BRF-001 | Rev01 | FOR BID REVIEW | 2026-09-18</w:t>
      </w:r>
    </w:p>
    <w:p>
      <w:r>
        <w:t>본 자료는 발주처의 입찰 입력자료를 정리한 사전 설명자료다. 아직 공사가 시작되지 않았으며, 실적 원가·실제 지연·준공 교훈은 존재하지 않는다. 계약 조건은 ITB와 승인된 정정서를 확인해야 한다.</w:t>
      </w:r>
    </w:p>
    <w:p>
      <w:pPr>
        <w:pStyle w:val="Heading1"/>
      </w:pPr>
      <w:r>
        <w:t>사업 범위와 기본 조건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사업 조건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사업번호 / 영문명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N02 / Dasol East Water Treatment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발주처 / 재원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다솔 공공개발청 / 개발기금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국가와 지역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다솔국 평야 (가상 지역)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범위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정수용량 8만 m3/day, 청수지 2기, DN1200 접속관 8 km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계약 방식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설계시공 일괄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발주처 예산한도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148.00 USD million / 세금 제외 / JV 전체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당사 JV 지분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65%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계획 착수 / 기준 준공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2027-04-01 / 2029-09-17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계획 공기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30개월 (자료군의 일정 월은 30일 환산)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지반 / 시공법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지반조사 부속서 미제공 / 정수처리 및 송수관 접속</w:t>
            </w:r>
          </w:p>
        </w:tc>
      </w:tr>
    </w:tbl>
    <w:p/>
    <w:p>
      <w:pPr>
        <w:pStyle w:val="Heading2"/>
      </w:pPr>
      <w:r>
        <w:t>책임 경계</w:t>
      </w:r>
    </w:p>
    <w:p>
      <w:r>
        <w:t>JV 전체 금액과 당사 지분금액을 혼용하지 않는다. 발주처 지급자재는 별도 인수목록으로 관리하며, 본 금액에는 토지 취득비와 금융비용이 포함되지 않는다.</w:t>
      </w:r>
    </w:p>
    <w:p>
      <w:r>
        <w:br w:type="page"/>
      </w:r>
    </w:p>
    <w:p>
      <w:pPr>
        <w:pStyle w:val="Heading1"/>
      </w:pPr>
      <w:r>
        <w:t>입찰자가 확인할 인터페이스</w:t>
      </w:r>
    </w:p>
    <w:p>
      <w:pPr>
        <w:pStyle w:val="Heading2"/>
      </w:pPr>
      <w:r>
        <w:t>미제공 부속서</w:t>
      </w:r>
    </w:p>
    <w:p>
      <w:r>
        <w:t>Geotechnical Appendix G는 발행 목록에는 있으나 현재 배포본에 포함되지 않았다. 지하수위, 투수계수, 설계 유입량은 확인되지 않았다.</w:t>
      </w:r>
    </w:p>
    <w:p>
      <w:pPr>
        <w:pStyle w:val="Heading2"/>
      </w:pPr>
      <w:r>
        <w:t>성능보증 범위</w:t>
      </w:r>
    </w:p>
    <w:p>
      <w:r>
        <w:t>일반 원수 탁도 범위와 고탁도 우기 조건을 구분한다. 폐수처리장의 과거 성능보증 수치를 정수장에 적용할 수 없다.</w:t>
      </w:r>
    </w:p>
    <w:p>
      <w:pPr>
        <w:pStyle w:val="Heading2"/>
      </w:pPr>
      <w:r>
        <w:t>접속 공사</w:t>
      </w:r>
    </w:p>
    <w:p>
      <w:r>
        <w:t>기존 송수관의 중단 가능 시간은 6시간이다. 실제 단수 일자는 운영자와 협의해야 하며, 전체 부지 인도와 접속 승인 완료를 동일하게 취급하지 않는다.</w:t>
      </w:r>
    </w:p>
    <w:p>
      <w:pPr>
        <w:pStyle w:val="Heading2"/>
      </w:pPr>
      <w:r>
        <w:t>필수 제출자료</w:t>
      </w:r>
    </w:p>
    <w:p>
      <w:r>
        <w:t>기술제안서, 계약 편차표, 공정표, 조달계획, 환경관리계획, 위험 검토표를 제출한다. 신규 프로젝트의 실적과 준공 교훈은 작성하지 않는다.</w:t>
      </w:r>
    </w:p>
    <w:p>
      <w:r>
        <w:br w:type="page"/>
      </w:r>
    </w:p>
    <w:p>
      <w:pPr>
        <w:pStyle w:val="Heading1"/>
      </w:pPr>
      <w:r>
        <w:t>질의와 제출 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</w:trPr>
        <w:tc>
          <w:tcPr>
            <w:tcW w:type="dxa" w:w="3389"/>
            <w:shd w:fill="18334D"/>
          </w:tcPr>
          <w:p>
            <w:r>
              <w:rPr>
                <w:b/>
                <w:color w:val="FFFFFF"/>
                <w:sz w:val="18"/>
              </w:rPr>
              <w:t>질의번호</w:t>
            </w:r>
          </w:p>
        </w:tc>
        <w:tc>
          <w:tcPr>
            <w:tcW w:type="dxa" w:w="3389"/>
            <w:shd w:fill="18334D"/>
          </w:tcPr>
          <w:p>
            <w:r>
              <w:rPr>
                <w:b/>
                <w:color w:val="FFFFFF"/>
                <w:sz w:val="18"/>
              </w:rPr>
              <w:t>질의 내용</w:t>
            </w:r>
          </w:p>
        </w:tc>
        <w:tc>
          <w:tcPr>
            <w:tcW w:type="dxa" w:w="3389"/>
            <w:shd w:fill="18334D"/>
          </w:tcPr>
          <w:p>
            <w:r>
              <w:rPr>
                <w:b/>
                <w:color w:val="FFFFFF"/>
                <w:sz w:val="18"/>
              </w:rPr>
              <w:t>현재 상태</w:t>
            </w:r>
          </w:p>
        </w:tc>
      </w:tr>
      <w:tr>
        <w:tc>
          <w:tcPr>
            <w:tcW w:type="dxa" w:w="3389"/>
          </w:tcPr>
          <w:p>
            <w:r>
              <w:rPr>
                <w:sz w:val="18"/>
              </w:rPr>
              <w:t>N02-Q01</w:t>
            </w:r>
          </w:p>
        </w:tc>
        <w:tc>
          <w:tcPr>
            <w:tcW w:type="dxa" w:w="3389"/>
          </w:tcPr>
          <w:p>
            <w:r>
              <w:rPr>
                <w:sz w:val="18"/>
              </w:rPr>
              <w:t>지반조사 및 설계 유입량의 계약 기준 확인</w:t>
            </w:r>
          </w:p>
        </w:tc>
        <w:tc>
          <w:tcPr>
            <w:tcW w:type="dxa" w:w="3389"/>
          </w:tcPr>
          <w:p>
            <w:r>
              <w:rPr>
                <w:sz w:val="18"/>
              </w:rPr>
              <w:t>미회신</w:t>
            </w:r>
          </w:p>
        </w:tc>
      </w:tr>
      <w:tr>
        <w:tc>
          <w:tcPr>
            <w:tcW w:type="dxa" w:w="3389"/>
          </w:tcPr>
          <w:p>
            <w:r>
              <w:rPr>
                <w:sz w:val="18"/>
              </w:rPr>
              <w:t>N02-Q02</w:t>
            </w:r>
          </w:p>
        </w:tc>
        <w:tc>
          <w:tcPr>
            <w:tcW w:type="dxa" w:w="3389"/>
          </w:tcPr>
          <w:p>
            <w:r>
              <w:rPr>
                <w:sz w:val="18"/>
              </w:rPr>
              <w:t>방류 허가량과 수질 처리 책임 확인</w:t>
            </w:r>
          </w:p>
        </w:tc>
        <w:tc>
          <w:tcPr>
            <w:tcW w:type="dxa" w:w="3389"/>
          </w:tcPr>
          <w:p>
            <w:r>
              <w:rPr>
                <w:sz w:val="18"/>
              </w:rPr>
              <w:t>승인 발행본 대조</w:t>
            </w:r>
          </w:p>
        </w:tc>
      </w:tr>
      <w:tr>
        <w:tc>
          <w:tcPr>
            <w:tcW w:type="dxa" w:w="3389"/>
          </w:tcPr>
          <w:p>
            <w:r>
              <w:rPr>
                <w:sz w:val="18"/>
              </w:rPr>
              <w:t>N02-Q03</w:t>
            </w:r>
          </w:p>
        </w:tc>
        <w:tc>
          <w:tcPr>
            <w:tcW w:type="dxa" w:w="3389"/>
          </w:tcPr>
          <w:p>
            <w:r>
              <w:rPr>
                <w:sz w:val="18"/>
              </w:rPr>
              <w:t>계약상 통지 수신인과 전자포털 접수 증빙</w:t>
            </w:r>
          </w:p>
        </w:tc>
        <w:tc>
          <w:tcPr>
            <w:tcW w:type="dxa" w:w="3389"/>
          </w:tcPr>
          <w:p>
            <w:r>
              <w:rPr>
                <w:sz w:val="18"/>
              </w:rPr>
              <w:t>ITB 20.1 확인</w:t>
            </w:r>
          </w:p>
        </w:tc>
      </w:tr>
      <w:tr>
        <w:tc>
          <w:tcPr>
            <w:tcW w:type="dxa" w:w="3389"/>
          </w:tcPr>
          <w:p>
            <w:r>
              <w:rPr>
                <w:sz w:val="18"/>
              </w:rPr>
              <w:t>N02-Q04</w:t>
            </w:r>
          </w:p>
        </w:tc>
        <w:tc>
          <w:tcPr>
            <w:tcW w:type="dxa" w:w="3389"/>
          </w:tcPr>
          <w:p>
            <w:r>
              <w:rPr>
                <w:sz w:val="18"/>
              </w:rPr>
              <w:t>장기납기 설비 승인 및 대체품 허용</w:t>
            </w:r>
          </w:p>
        </w:tc>
        <w:tc>
          <w:tcPr>
            <w:tcW w:type="dxa" w:w="3389"/>
          </w:tcPr>
          <w:p>
            <w:r>
              <w:rPr>
                <w:sz w:val="18"/>
              </w:rPr>
              <w:t>기술편차 제출</w:t>
            </w:r>
          </w:p>
        </w:tc>
      </w:tr>
      <w:tr>
        <w:tc>
          <w:tcPr>
            <w:tcW w:type="dxa" w:w="3389"/>
          </w:tcPr>
          <w:p>
            <w:r>
              <w:rPr>
                <w:sz w:val="18"/>
              </w:rPr>
              <w:t>N02-Q05</w:t>
            </w:r>
          </w:p>
        </w:tc>
        <w:tc>
          <w:tcPr>
            <w:tcW w:type="dxa" w:w="3389"/>
          </w:tcPr>
          <w:p>
            <w:r>
              <w:rPr>
                <w:sz w:val="18"/>
              </w:rPr>
              <w:t>JV 전체 금액과 지분 귀속 금액 표시</w:t>
            </w:r>
          </w:p>
        </w:tc>
        <w:tc>
          <w:tcPr>
            <w:tcW w:type="dxa" w:w="3389"/>
          </w:tcPr>
          <w:p>
            <w:r>
              <w:rPr>
                <w:sz w:val="18"/>
              </w:rPr>
              <w:t>구분 제출</w:t>
            </w:r>
          </w:p>
        </w:tc>
      </w:tr>
    </w:tbl>
    <w:p/>
    <w:p>
      <w:pPr>
        <w:pStyle w:val="Heading2"/>
      </w:pPr>
      <w:r>
        <w:t>제출 마감</w:t>
      </w:r>
    </w:p>
    <w:p>
      <w:r>
        <w:t>입찰 제출은 2026-10-16 15:00 현지시간이다. 이 가상 자료군에서는 현지시간을 UTC+09:00으로 고정한다. 기술·상업 제안서는 별도 파일로 제출한다.</w:t>
      </w:r>
    </w:p>
    <w:p>
      <w:pPr>
        <w:pStyle w:val="Heading2"/>
      </w:pPr>
      <w:r>
        <w:t>질의 처리 원칙</w:t>
      </w:r>
    </w:p>
    <w:p>
      <w:r>
        <w:t>미회신 질의는 가정과 잠재 영향을 별도로 기재한다. 담당자 이메일은 정식 정정서 발행을 대체하지 않는다. 발주처의 예산한도를 시공사의 확정 견적이나 실제 원가로 표시하지 않는다.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4"/>
      </w:rPr>
      <w:t>SYNTHETIC DATA | 모든 기관·사업·수치·조건은 해커톤용 가상 자료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Noto Sans KR" w:hAnsi="Noto Sans KR" w:eastAsia="Noto Sans KR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KR" w:hAnsi="Noto Sans KR" w:eastAsia="Noto Sans KR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KR" w:hAnsi="Noto Sans KR" w:eastAsia="Noto Sans KR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Noto Sans KR" w:hAnsi="Noto Sans KR" w:eastAsia="Noto Sans KR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Fictional infrastructure project dataset</dc:subject>
  <dc:creator>REBUILD Synthetic Data Studio</dc:creator>
  <cp:keywords>SYNTHETIC, REBUILD, hackathon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