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ИНСТРУКЦИЯ ПО ДОКУМЕНТООБОРОТУ РУ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1. Каждый документ должен иметь наименование, дату, исполнителя, номер при необходимости и отметку о статусе доступа.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2. Материалы проверок УСБ хранятся только в закрытых каналах, делах или архивах с установленным доступом.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3. Решения, принятые только устно или в чате без фиксации, не считаются оформленными.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4. Журналы обращений, приказов, проверок и доступов обновляются в день совершения соответствующего действия.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5. Закрытое дело передается в архив после утверждения заключения и отметки о контроле исполнения.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6. Доступы пересматриваются не реже одного раза в месяц и при каждом кадровом изменении.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