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CDD4" w:sz="6" w:space="8"/>
        </w:pBdr>
        <w:spacing w:after="220"/>
      </w:pPr>
      <w:r>
        <w:rPr>
          <w:rFonts w:ascii="Calibri" w:cs="Calibri" w:eastAsia="Calibri" w:hAnsi="Calibri"/>
          <w:b/>
          <w:bCs/>
          <w:color w:val="595959"/>
          <w:sz w:val="16"/>
          <w:szCs w:val="16"/>
        </w:rPr>
        <w:t xml:space="preserve">[ AUTOMATUM LOGO ]</w:t>
      </w:r>
    </w:p>
    <w:p>
      <w:pPr>
        <w:spacing w:after="40"/>
      </w:pPr>
      <w:r>
        <w:rPr>
          <w:rFonts w:ascii="Calibri" w:cs="Calibri" w:eastAsia="Calibri" w:hAnsi="Calibri"/>
          <w:b/>
          <w:bCs/>
          <w:color w:val="1A1A1A"/>
          <w:sz w:val="40"/>
          <w:szCs w:val="40"/>
        </w:rPr>
        <w:t xml:space="preserve">Managed Partner Development</w:t>
      </w:r>
    </w:p>
    <w:p>
      <w:pPr>
        <w:spacing w:after="100" w:before="0" w:line="252"/>
      </w:pPr>
      <w:r>
        <w:rPr>
          <w:rFonts w:ascii="Calibri" w:cs="Calibri" w:eastAsia="Calibri" w:hAnsi="Calibri"/>
          <w:b/>
          <w:bCs/>
          <w:color w:val="1A1A1A"/>
          <w:sz w:val="19"/>
          <w:szCs w:val="19"/>
        </w:rPr>
        <w:t xml:space="preserve">Build and run your AWS Marketplace reseller channel</w:t>
      </w:r>
    </w:p>
    <w:p>
      <w:pPr>
        <w:spacing w:after="100" w:before="0" w:line="252"/>
      </w:pPr>
      <w:r>
        <w:rPr>
          <w:rFonts w:ascii="Calibri" w:cs="Calibri" w:eastAsia="Calibri" w:hAnsi="Calibri"/>
          <w:color w:val="1A1A1A"/>
          <w:sz w:val="19"/>
          <w:szCs w:val="19"/>
        </w:rPr>
        <w:t xml:space="preserve">A 12-month engagement that recruits resellers for your listing, contracts them, enables them and runs the deal desk that gets offers issued. You keep the listing, the seller of record position and the customer relationship. We run the channel behind it.</w:t>
      </w:r>
    </w:p>
    <w:p>
      <w:pPr>
        <w:spacing w:after="100" w:before="0" w:line="252"/>
      </w:pPr>
      <w:r>
        <w:rPr>
          <w:rFonts w:ascii="Calibri" w:cs="Calibri" w:eastAsia="Calibri" w:hAnsi="Calibri"/>
          <w:color w:val="1A1A1A"/>
          <w:sz w:val="19"/>
          <w:szCs w:val="19"/>
        </w:rPr>
        <w:t xml:space="preserve">For software vendors with a live AWS Marketplace listing.</w:t>
      </w:r>
    </w:p>
    <w:p>
      <w:pPr>
        <w:pBdr>
          <w:bottom w:val="single" w:color="094A9E" w:sz="4" w:space="4"/>
        </w:pBdr>
        <w:spacing w:after="100" w:before="220"/>
      </w:pPr>
      <w:r>
        <w:rPr>
          <w:rFonts w:ascii="Calibri" w:cs="Calibri" w:eastAsia="Calibri" w:hAnsi="Calibri"/>
          <w:b/>
          <w:bCs/>
          <w:color w:val="094A9E"/>
          <w:sz w:val="22"/>
          <w:szCs w:val="22"/>
        </w:rPr>
        <w:t xml:space="preserve">What you get</w:t>
      </w:r>
    </w:p>
    <w:p>
      <w:pPr>
        <w:spacing w:after="100" w:before="0" w:line="252"/>
      </w:pPr>
      <w:r>
        <w:rPr>
          <w:rFonts w:ascii="Calibri" w:cs="Calibri" w:eastAsia="Calibri" w:hAnsi="Calibri"/>
          <w:color w:val="1A1A1A"/>
          <w:sz w:val="19"/>
          <w:szCs w:val="19"/>
        </w:rPr>
        <w:t xml:space="preserve">Every tier includes all of the following.</w:t>
      </w:r>
    </w:p>
    <w:p>
      <w:pPr>
        <w:spacing w:after="100" w:before="0" w:line="252"/>
      </w:pPr>
      <w:r>
        <w:rPr>
          <w:rFonts w:ascii="Calibri" w:cs="Calibri" w:eastAsia="Calibri" w:hAnsi="Calibri"/>
          <w:b/>
          <w:bCs/>
          <w:color w:val="1A1A1A"/>
          <w:sz w:val="19"/>
          <w:szCs w:val="19"/>
        </w:rPr>
        <w:t xml:space="preserve">Partner recruitment and onboarding.</w:t>
      </w:r>
      <w:r>
        <w:rPr>
          <w:rFonts w:ascii="Calibri" w:cs="Calibri" w:eastAsia="Calibri" w:hAnsi="Calibri"/>
          <w:color w:val="1A1A1A"/>
          <w:sz w:val="19"/>
          <w:szCs w:val="19"/>
        </w:rPr>
        <w:t xml:space="preserve"> We identify, qualify, recruit and onboard resellers against the ideal partner profile we agree with you. Every candidate is screened before onboarding against sanctions and denied party lists, adverse media, beneficial ownership including whether any owner or controller is a government official, AWS Partner Network standing, and financial standing.</w:t>
      </w:r>
    </w:p>
    <w:p>
      <w:pPr>
        <w:spacing w:after="100" w:before="0" w:line="252"/>
      </w:pPr>
      <w:r>
        <w:rPr>
          <w:rFonts w:ascii="Calibri" w:cs="Calibri" w:eastAsia="Calibri" w:hAnsi="Calibri"/>
          <w:b/>
          <w:bCs/>
          <w:color w:val="1A1A1A"/>
          <w:sz w:val="19"/>
          <w:szCs w:val="19"/>
        </w:rPr>
        <w:t xml:space="preserve">Partner contracting.</w:t>
      </w:r>
      <w:r>
        <w:rPr>
          <w:rFonts w:ascii="Calibri" w:cs="Calibri" w:eastAsia="Calibri" w:hAnsi="Calibri"/>
          <w:color w:val="1A1A1A"/>
          <w:sz w:val="19"/>
          <w:szCs w:val="19"/>
        </w:rPr>
        <w:t xml:space="preserve"> We draft, issue and administer the partner agreement and the margin schedule. The agreement is between you and the partner; we run the paperwork.</w:t>
      </w:r>
    </w:p>
    <w:p>
      <w:pPr>
        <w:spacing w:after="100" w:before="0" w:line="252"/>
      </w:pPr>
      <w:r>
        <w:rPr>
          <w:rFonts w:ascii="Calibri" w:cs="Calibri" w:eastAsia="Calibri" w:hAnsi="Calibri"/>
          <w:b/>
          <w:bCs/>
          <w:color w:val="1A1A1A"/>
          <w:sz w:val="19"/>
          <w:szCs w:val="19"/>
        </w:rPr>
        <w:t xml:space="preserve">AWS readiness.</w:t>
      </w:r>
      <w:r>
        <w:rPr>
          <w:rFonts w:ascii="Calibri" w:cs="Calibri" w:eastAsia="Calibri" w:hAnsi="Calibri"/>
          <w:color w:val="1A1A1A"/>
          <w:sz w:val="19"/>
          <w:szCs w:val="19"/>
        </w:rPr>
        <w:t xml:space="preserve"> We guide each partner through AWS registration, tax and banking details, and service-linked role creation.</w:t>
      </w:r>
    </w:p>
    <w:p>
      <w:pPr>
        <w:spacing w:after="100" w:before="0" w:line="252"/>
      </w:pPr>
      <w:r>
        <w:rPr>
          <w:rFonts w:ascii="Calibri" w:cs="Calibri" w:eastAsia="Calibri" w:hAnsi="Calibri"/>
          <w:b/>
          <w:bCs/>
          <w:color w:val="1A1A1A"/>
          <w:sz w:val="19"/>
          <w:szCs w:val="19"/>
        </w:rPr>
        <w:t xml:space="preserve">A live partner portal.</w:t>
      </w:r>
      <w:r>
        <w:rPr>
          <w:rFonts w:ascii="Calibri" w:cs="Calibri" w:eastAsia="Calibri" w:hAnsi="Calibri"/>
          <w:color w:val="1A1A1A"/>
          <w:sz w:val="19"/>
          <w:szCs w:val="19"/>
        </w:rPr>
        <w:t xml:space="preserve"> Onboarding workflow, deal registration with approval and decline history, and commission tracking against the margin schedule, synchronized with HubSpot or Salesforce as you specify.</w:t>
      </w:r>
    </w:p>
    <w:p>
      <w:pPr>
        <w:spacing w:after="100" w:before="0" w:line="252"/>
      </w:pPr>
      <w:r>
        <w:rPr>
          <w:rFonts w:ascii="Calibri" w:cs="Calibri" w:eastAsia="Calibri" w:hAnsi="Calibri"/>
          <w:b/>
          <w:bCs/>
          <w:color w:val="1A1A1A"/>
          <w:sz w:val="19"/>
          <w:szCs w:val="19"/>
        </w:rPr>
        <w:t xml:space="preserve">Enablement and training.</w:t>
      </w:r>
      <w:r>
        <w:rPr>
          <w:rFonts w:ascii="Calibri" w:cs="Calibri" w:eastAsia="Calibri" w:hAnsi="Calibri"/>
          <w:color w:val="1A1A1A"/>
          <w:sz w:val="19"/>
          <w:szCs w:val="19"/>
        </w:rPr>
        <w:t xml:space="preserve"> Sessions at your tier cadence covering your product, offer mechanics, deal registration and the margin schedule.</w:t>
      </w:r>
    </w:p>
    <w:p>
      <w:pPr>
        <w:spacing w:after="100" w:before="0" w:line="252"/>
      </w:pPr>
      <w:r>
        <w:rPr>
          <w:rFonts w:ascii="Calibri" w:cs="Calibri" w:eastAsia="Calibri" w:hAnsi="Calibri"/>
          <w:b/>
          <w:bCs/>
          <w:color w:val="1A1A1A"/>
          <w:sz w:val="19"/>
          <w:szCs w:val="19"/>
        </w:rPr>
        <w:t xml:space="preserve">A CPPO deal desk.</w:t>
      </w:r>
      <w:r>
        <w:rPr>
          <w:rFonts w:ascii="Calibri" w:cs="Calibri" w:eastAsia="Calibri" w:hAnsi="Calibri"/>
          <w:color w:val="1A1A1A"/>
          <w:sz w:val="19"/>
          <w:szCs w:val="19"/>
        </w:rPr>
        <w:t xml:space="preserve"> Partner deal registrations answered to a published turnaround, with every private offer and CPPO structured and priced ready for issue.</w:t>
      </w:r>
    </w:p>
    <w:p>
      <w:pPr>
        <w:spacing w:after="100" w:before="0" w:line="252"/>
      </w:pPr>
      <w:r>
        <w:rPr>
          <w:rFonts w:ascii="Calibri" w:cs="Calibri" w:eastAsia="Calibri" w:hAnsi="Calibri"/>
          <w:b/>
          <w:bCs/>
          <w:color w:val="1A1A1A"/>
          <w:sz w:val="19"/>
          <w:szCs w:val="19"/>
        </w:rPr>
        <w:t xml:space="preserve">Selling Authorizations.</w:t>
      </w:r>
      <w:r>
        <w:rPr>
          <w:rFonts w:ascii="Calibri" w:cs="Calibri" w:eastAsia="Calibri" w:hAnsi="Calibri"/>
          <w:color w:val="1A1A1A"/>
          <w:sz w:val="19"/>
          <w:szCs w:val="19"/>
        </w:rPr>
        <w:t xml:space="preserve"> Prepared, submitted and tracked to issue.</w:t>
      </w:r>
    </w:p>
    <w:p>
      <w:pPr>
        <w:spacing w:after="100" w:before="0" w:line="252"/>
      </w:pPr>
      <w:r>
        <w:rPr>
          <w:rFonts w:ascii="Calibri" w:cs="Calibri" w:eastAsia="Calibri" w:hAnsi="Calibri"/>
          <w:b/>
          <w:bCs/>
          <w:color w:val="1A1A1A"/>
          <w:sz w:val="19"/>
          <w:szCs w:val="19"/>
        </w:rPr>
        <w:t xml:space="preserve">Opportunity hygiene.</w:t>
      </w:r>
      <w:r>
        <w:rPr>
          <w:rFonts w:ascii="Calibri" w:cs="Calibri" w:eastAsia="Calibri" w:hAnsi="Calibri"/>
          <w:color w:val="1A1A1A"/>
          <w:sz w:val="19"/>
          <w:szCs w:val="19"/>
        </w:rPr>
        <w:t xml:space="preserve"> Partner-sourced opportunities filed to ACE, tracked distinctly, with AWS Partner Revenue Measurement attribution configured and verified.</w:t>
      </w:r>
    </w:p>
    <w:p>
      <w:pPr>
        <w:spacing w:after="100" w:before="0" w:line="252"/>
      </w:pPr>
      <w:r>
        <w:rPr>
          <w:rFonts w:ascii="Calibri" w:cs="Calibri" w:eastAsia="Calibri" w:hAnsi="Calibri"/>
          <w:b/>
          <w:bCs/>
          <w:color w:val="1A1A1A"/>
          <w:sz w:val="19"/>
          <w:szCs w:val="19"/>
        </w:rPr>
        <w:t xml:space="preserve">A monthly report.</w:t>
      </w:r>
      <w:r>
        <w:rPr>
          <w:rFonts w:ascii="Calibri" w:cs="Calibri" w:eastAsia="Calibri" w:hAnsi="Calibri"/>
          <w:color w:val="1A1A1A"/>
          <w:sz w:val="19"/>
          <w:szCs w:val="19"/>
        </w:rPr>
        <w:t xml:space="preserve"> Delivered within 5 business days of month end, in your brand, in a form you can pass on unaltered.</w:t>
      </w:r>
    </w:p>
    <w:p>
      <w:pPr>
        <w:pBdr>
          <w:bottom w:val="single" w:color="094A9E" w:sz="4" w:space="4"/>
        </w:pBdr>
        <w:spacing w:after="100" w:before="220"/>
      </w:pPr>
      <w:r>
        <w:rPr>
          <w:rFonts w:ascii="Calibri" w:cs="Calibri" w:eastAsia="Calibri" w:hAnsi="Calibri"/>
          <w:b/>
          <w:bCs/>
          <w:color w:val="094A9E"/>
          <w:sz w:val="22"/>
          <w:szCs w:val="22"/>
        </w:rPr>
        <w:t xml:space="preserve">How it runs</w:t>
      </w:r>
    </w:p>
    <w:p>
      <w:pPr>
        <w:spacing w:after="70" w:line="252"/>
        <w:ind w:left="300" w:hanging="300"/>
      </w:pPr>
      <w:r>
        <w:rPr>
          <w:rFonts w:ascii="Calibri" w:cs="Calibri" w:eastAsia="Calibri" w:hAnsi="Calibri"/>
          <w:color w:val="1A1A1A"/>
          <w:sz w:val="19"/>
          <w:szCs w:val="19"/>
        </w:rPr>
        <w:t xml:space="preserve">1.  </w:t>
      </w:r>
      <w:r>
        <w:rPr>
          <w:rFonts w:ascii="Calibri" w:cs="Calibri" w:eastAsia="Calibri" w:hAnsi="Calibri"/>
          <w:b/>
          <w:bCs/>
          <w:color w:val="1A1A1A"/>
          <w:sz w:val="19"/>
          <w:szCs w:val="19"/>
        </w:rPr>
        <w:t xml:space="preserve">Scope.</w:t>
      </w:r>
      <w:r>
        <w:rPr>
          <w:rFonts w:ascii="Calibri" w:cs="Calibri" w:eastAsia="Calibri" w:hAnsi="Calibri"/>
          <w:color w:val="1A1A1A"/>
          <w:sz w:val="19"/>
          <w:szCs w:val="19"/>
        </w:rPr>
        <w:t xml:space="preserve"> We agree the ideal partner profile, the tier and the intake channel.</w:t>
      </w:r>
    </w:p>
    <w:p>
      <w:pPr>
        <w:spacing w:after="70" w:line="252"/>
        <w:ind w:left="300" w:hanging="300"/>
      </w:pPr>
      <w:r>
        <w:rPr>
          <w:rFonts w:ascii="Calibri" w:cs="Calibri" w:eastAsia="Calibri" w:hAnsi="Calibri"/>
          <w:color w:val="1A1A1A"/>
          <w:sz w:val="19"/>
          <w:szCs w:val="19"/>
        </w:rPr>
        <w:t xml:space="preserve">2.  </w:t>
      </w:r>
      <w:r>
        <w:rPr>
          <w:rFonts w:ascii="Calibri" w:cs="Calibri" w:eastAsia="Calibri" w:hAnsi="Calibri"/>
          <w:b/>
          <w:bCs/>
          <w:color w:val="1A1A1A"/>
          <w:sz w:val="19"/>
          <w:szCs w:val="19"/>
        </w:rPr>
        <w:t xml:space="preserve">Recruit and onboard.</w:t>
      </w:r>
      <w:r>
        <w:rPr>
          <w:rFonts w:ascii="Calibri" w:cs="Calibri" w:eastAsia="Calibri" w:hAnsi="Calibri"/>
          <w:color w:val="1A1A1A"/>
          <w:sz w:val="19"/>
          <w:szCs w:val="19"/>
        </w:rPr>
        <w:t xml:space="preserve"> Candidates screened, contracted, AWS-registered and enabled.</w:t>
      </w:r>
    </w:p>
    <w:p>
      <w:pPr>
        <w:spacing w:after="70" w:line="252"/>
        <w:ind w:left="300" w:hanging="300"/>
      </w:pPr>
      <w:r>
        <w:rPr>
          <w:rFonts w:ascii="Calibri" w:cs="Calibri" w:eastAsia="Calibri" w:hAnsi="Calibri"/>
          <w:color w:val="1A1A1A"/>
          <w:sz w:val="19"/>
          <w:szCs w:val="19"/>
        </w:rPr>
        <w:t xml:space="preserve">3.  </w:t>
      </w:r>
      <w:r>
        <w:rPr>
          <w:rFonts w:ascii="Calibri" w:cs="Calibri" w:eastAsia="Calibri" w:hAnsi="Calibri"/>
          <w:b/>
          <w:bCs/>
          <w:color w:val="1A1A1A"/>
          <w:sz w:val="19"/>
          <w:szCs w:val="19"/>
        </w:rPr>
        <w:t xml:space="preserve">Transact.</w:t>
      </w:r>
      <w:r>
        <w:rPr>
          <w:rFonts w:ascii="Calibri" w:cs="Calibri" w:eastAsia="Calibri" w:hAnsi="Calibri"/>
          <w:color w:val="1A1A1A"/>
          <w:sz w:val="19"/>
          <w:szCs w:val="19"/>
        </w:rPr>
        <w:t xml:space="preserve"> Partners register deals through the desk; offers and Selling Authorizations go out to the turnaround for your tier.</w:t>
      </w:r>
    </w:p>
    <w:p>
      <w:pPr>
        <w:spacing w:after="70" w:line="252"/>
        <w:ind w:left="300" w:hanging="300"/>
      </w:pPr>
      <w:r>
        <w:rPr>
          <w:rFonts w:ascii="Calibri" w:cs="Calibri" w:eastAsia="Calibri" w:hAnsi="Calibri"/>
          <w:color w:val="1A1A1A"/>
          <w:sz w:val="19"/>
          <w:szCs w:val="19"/>
        </w:rPr>
        <w:t xml:space="preserve">4.  </w:t>
      </w:r>
      <w:r>
        <w:rPr>
          <w:rFonts w:ascii="Calibri" w:cs="Calibri" w:eastAsia="Calibri" w:hAnsi="Calibri"/>
          <w:b/>
          <w:bCs/>
          <w:color w:val="1A1A1A"/>
          <w:sz w:val="19"/>
          <w:szCs w:val="19"/>
        </w:rPr>
        <w:t xml:space="preserve">Report and review.</w:t>
      </w:r>
      <w:r>
        <w:rPr>
          <w:rFonts w:ascii="Calibri" w:cs="Calibri" w:eastAsia="Calibri" w:hAnsi="Calibri"/>
          <w:color w:val="1A1A1A"/>
          <w:sz w:val="19"/>
          <w:szCs w:val="19"/>
        </w:rPr>
        <w:t xml:space="preserve"> Monthly pack, plus a channel review at your tier cadence.</w:t>
      </w:r>
    </w:p>
    <w:p>
      <w:r>
        <w:br w:type="page"/>
      </w:r>
    </w:p>
    <w:p>
      <w:pPr>
        <w:pBdr>
          <w:bottom w:val="single" w:color="094A9E" w:sz="4" w:space="4"/>
        </w:pBdr>
        <w:spacing w:after="100" w:before="220"/>
      </w:pPr>
      <w:r>
        <w:rPr>
          <w:rFonts w:ascii="Calibri" w:cs="Calibri" w:eastAsia="Calibri" w:hAnsi="Calibri"/>
          <w:b/>
          <w:bCs/>
          <w:color w:val="094A9E"/>
          <w:sz w:val="22"/>
          <w:szCs w:val="22"/>
        </w:rPr>
        <w:t xml:space="preserve">Choose a tier</w:t>
      </w:r>
    </w:p>
    <w:tbl>
      <w:tblPr>
        <w:tblW w:type="dxa" w:w="10080"/>
        <w:tblBorders>
          <w:top w:val="single" w:color="C8CDD4" w:sz="2"/>
          <w:left w:val="none" w:color="auto" w:sz="0"/>
          <w:bottom w:val="single" w:color="C8CDD4" w:sz="2"/>
          <w:right w:val="none" w:color="auto" w:sz="0"/>
          <w:insideH w:val="single" w:color="C8CDD4" w:sz="2"/>
          <w:insideV w:val="none" w:color="auto" w:sz="0"/>
        </w:tblBorders>
      </w:tblPr>
      <w:tblGrid>
        <w:gridCol w:w="2822"/>
        <w:gridCol w:w="2419"/>
        <w:gridCol w:w="2419"/>
        <w:gridCol w:w="2419"/>
      </w:tblGrid>
      <w:tr>
        <w:trPr>
          <w:tblHeader/>
        </w:trPr>
        <w:tc>
          <w:tcPr>
            <w:tcW w:type="dxa" w:w="2822"/>
            <w:shd w:fill="F2F5F9" w:color="auto" w:val="clear"/>
            <w:tcMar>
              <w:top w:type="dxa" w:w="90"/>
              <w:left w:type="dxa" w:w="120"/>
              <w:bottom w:type="dxa" w:w="90"/>
              <w:right w:type="dxa" w:w="120"/>
            </w:tcMar>
          </w:tcPr>
          <w:p>
            <w:pPr>
              <w:spacing w:after="0" w:before="0" w:line="240"/>
            </w:pPr>
          </w:p>
        </w:tc>
        <w:tc>
          <w:tcPr>
            <w:tcW w:type="dxa" w:w="2419"/>
            <w:shd w:fill="F2F5F9" w:color="auto" w:val="clear"/>
            <w:tcMar>
              <w:top w:type="dxa" w:w="90"/>
              <w:left w:type="dxa" w:w="120"/>
              <w:bottom w:type="dxa" w:w="90"/>
              <w:right w:type="dxa" w:w="120"/>
            </w:tcMar>
          </w:tcPr>
          <w:p>
            <w:pPr>
              <w:spacing w:after="0" w:before="0" w:line="240"/>
            </w:pPr>
            <w:r>
              <w:rPr>
                <w:rFonts w:ascii="Calibri" w:cs="Calibri" w:eastAsia="Calibri" w:hAnsi="Calibri"/>
                <w:b/>
                <w:bCs/>
                <w:color w:val="094A9E"/>
                <w:sz w:val="18"/>
                <w:szCs w:val="18"/>
              </w:rPr>
              <w:t xml:space="preserve">Tier 1</w:t>
            </w:r>
          </w:p>
        </w:tc>
        <w:tc>
          <w:tcPr>
            <w:tcW w:type="dxa" w:w="2419"/>
            <w:shd w:fill="F2F5F9" w:color="auto" w:val="clear"/>
            <w:tcMar>
              <w:top w:type="dxa" w:w="90"/>
              <w:left w:type="dxa" w:w="120"/>
              <w:bottom w:type="dxa" w:w="90"/>
              <w:right w:type="dxa" w:w="120"/>
            </w:tcMar>
          </w:tcPr>
          <w:p>
            <w:pPr>
              <w:spacing w:after="0" w:before="0" w:line="240"/>
            </w:pPr>
            <w:r>
              <w:rPr>
                <w:rFonts w:ascii="Calibri" w:cs="Calibri" w:eastAsia="Calibri" w:hAnsi="Calibri"/>
                <w:b/>
                <w:bCs/>
                <w:color w:val="094A9E"/>
                <w:sz w:val="18"/>
                <w:szCs w:val="18"/>
              </w:rPr>
              <w:t xml:space="preserve">Tier 2</w:t>
            </w:r>
          </w:p>
        </w:tc>
        <w:tc>
          <w:tcPr>
            <w:tcW w:type="dxa" w:w="2419"/>
            <w:shd w:fill="F2F5F9" w:color="auto" w:val="clear"/>
            <w:tcMar>
              <w:top w:type="dxa" w:w="90"/>
              <w:left w:type="dxa" w:w="120"/>
              <w:bottom w:type="dxa" w:w="90"/>
              <w:right w:type="dxa" w:w="120"/>
            </w:tcMar>
          </w:tcPr>
          <w:p>
            <w:pPr>
              <w:spacing w:after="0" w:before="0" w:line="240"/>
            </w:pPr>
            <w:r>
              <w:rPr>
                <w:rFonts w:ascii="Calibri" w:cs="Calibri" w:eastAsia="Calibri" w:hAnsi="Calibri"/>
                <w:b/>
                <w:bCs/>
                <w:color w:val="094A9E"/>
                <w:sz w:val="18"/>
                <w:szCs w:val="18"/>
              </w:rPr>
              <w:t xml:space="preserve">Tier 3</w:t>
            </w:r>
          </w:p>
        </w:tc>
      </w:tr>
      <w:tr>
        <w:tc>
          <w:tcPr>
            <w:tcW w:type="dxa" w:w="2822"/>
            <w:tcMar>
              <w:top w:type="dxa" w:w="90"/>
              <w:left w:type="dxa" w:w="120"/>
              <w:bottom w:type="dxa" w:w="90"/>
              <w:right w:type="dxa" w:w="120"/>
            </w:tcMar>
          </w:tcPr>
          <w:p>
            <w:pPr>
              <w:spacing w:after="0" w:before="0" w:line="240"/>
            </w:pPr>
            <w:r>
              <w:rPr>
                <w:rFonts w:ascii="Calibri" w:cs="Calibri" w:eastAsia="Calibri" w:hAnsi="Calibri"/>
                <w:b/>
                <w:bCs/>
                <w:color w:val="595959"/>
                <w:sz w:val="18"/>
                <w:szCs w:val="18"/>
              </w:rPr>
              <w:t xml:space="preserve">Monthly fee</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$2,500</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$5,000</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$7,500</w:t>
            </w:r>
          </w:p>
        </w:tc>
      </w:tr>
      <w:tr>
        <w:tc>
          <w:tcPr>
            <w:tcW w:type="dxa" w:w="2822"/>
            <w:tcMar>
              <w:top w:type="dxa" w:w="90"/>
              <w:left w:type="dxa" w:w="120"/>
              <w:bottom w:type="dxa" w:w="90"/>
              <w:right w:type="dxa" w:w="120"/>
            </w:tcMar>
          </w:tcPr>
          <w:p>
            <w:pPr>
              <w:spacing w:after="0" w:before="0" w:line="240"/>
            </w:pPr>
            <w:r>
              <w:rPr>
                <w:rFonts w:ascii="Calibri" w:cs="Calibri" w:eastAsia="Calibri" w:hAnsi="Calibri"/>
                <w:b/>
                <w:bCs/>
                <w:color w:val="595959"/>
                <w:sz w:val="18"/>
                <w:szCs w:val="18"/>
              </w:rPr>
              <w:t xml:space="preserve">Net new partner capacity over the engagement</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up to 6</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up to 12</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uncapped roster</w:t>
            </w:r>
          </w:p>
        </w:tc>
      </w:tr>
      <w:tr>
        <w:tc>
          <w:tcPr>
            <w:tcW w:type="dxa" w:w="2822"/>
            <w:tcMar>
              <w:top w:type="dxa" w:w="90"/>
              <w:left w:type="dxa" w:w="120"/>
              <w:bottom w:type="dxa" w:w="90"/>
              <w:right w:type="dxa" w:w="120"/>
            </w:tcMar>
          </w:tcPr>
          <w:p>
            <w:pPr>
              <w:spacing w:after="0" w:before="0" w:line="240"/>
            </w:pPr>
            <w:r>
              <w:rPr>
                <w:rFonts w:ascii="Calibri" w:cs="Calibri" w:eastAsia="Calibri" w:hAnsi="Calibri"/>
                <w:b/>
                <w:bCs/>
                <w:color w:val="595959"/>
                <w:sz w:val="18"/>
                <w:szCs w:val="18"/>
              </w:rPr>
              <w:t xml:space="preserve">Training and enablement</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twice yearly</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quarterly</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monthly</w:t>
            </w:r>
          </w:p>
        </w:tc>
      </w:tr>
      <w:tr>
        <w:tc>
          <w:tcPr>
            <w:tcW w:type="dxa" w:w="2822"/>
            <w:tcMar>
              <w:top w:type="dxa" w:w="90"/>
              <w:left w:type="dxa" w:w="120"/>
              <w:bottom w:type="dxa" w:w="90"/>
              <w:right w:type="dxa" w:w="120"/>
            </w:tcMar>
          </w:tcPr>
          <w:p>
            <w:pPr>
              <w:spacing w:after="0" w:before="0" w:line="240"/>
            </w:pPr>
            <w:r>
              <w:rPr>
                <w:rFonts w:ascii="Calibri" w:cs="Calibri" w:eastAsia="Calibri" w:hAnsi="Calibri"/>
                <w:b/>
                <w:bCs/>
                <w:color w:val="595959"/>
                <w:sz w:val="18"/>
                <w:szCs w:val="18"/>
              </w:rPr>
              <w:t xml:space="preserve">Deal desk turnaround</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by close of the next business day</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8 business hours</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4 business hours</w:t>
            </w:r>
          </w:p>
        </w:tc>
      </w:tr>
      <w:tr>
        <w:tc>
          <w:tcPr>
            <w:tcW w:type="dxa" w:w="2822"/>
            <w:tcMar>
              <w:top w:type="dxa" w:w="90"/>
              <w:left w:type="dxa" w:w="120"/>
              <w:bottom w:type="dxa" w:w="90"/>
              <w:right w:type="dxa" w:w="120"/>
            </w:tcMar>
          </w:tcPr>
          <w:p>
            <w:pPr>
              <w:spacing w:after="0" w:before="0" w:line="240"/>
            </w:pPr>
            <w:r>
              <w:rPr>
                <w:rFonts w:ascii="Calibri" w:cs="Calibri" w:eastAsia="Calibri" w:hAnsi="Calibri"/>
                <w:b/>
                <w:bCs/>
                <w:color w:val="595959"/>
                <w:sz w:val="18"/>
                <w:szCs w:val="18"/>
              </w:rPr>
              <w:t xml:space="preserve">Channel reviews</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quarterly</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monthly</w:t>
            </w:r>
          </w:p>
        </w:tc>
        <w:tc>
          <w:tcPr>
            <w:tcW w:type="dxa" w:w="2419"/>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every two weeks</w:t>
            </w:r>
          </w:p>
        </w:tc>
      </w:tr>
    </w:tbl>
    <w:p>
      <w:pPr>
        <w:spacing w:after="60" w:before="0" w:line="252"/>
      </w:pPr>
    </w:p>
    <w:p>
      <w:pPr>
        <w:spacing w:after="100" w:before="0" w:line="252"/>
      </w:pPr>
      <w:r>
        <w:rPr>
          <w:rFonts w:ascii="Calibri" w:cs="Calibri" w:eastAsia="Calibri" w:hAnsi="Calibri"/>
          <w:color w:val="1A1A1A"/>
          <w:sz w:val="19"/>
          <w:szCs w:val="19"/>
        </w:rPr>
        <w:t xml:space="preserve">Tier 3 runs an uncapped roster with an agreed monthly onboarding rate; requests above the rate queue in order, with queue position visible in the portal.</w:t>
      </w:r>
    </w:p>
    <w:p>
      <w:pPr>
        <w:pBdr>
          <w:bottom w:val="single" w:color="094A9E" w:sz="4" w:space="4"/>
        </w:pBdr>
        <w:spacing w:after="100" w:before="220"/>
      </w:pPr>
      <w:r>
        <w:rPr>
          <w:rFonts w:ascii="Calibri" w:cs="Calibri" w:eastAsia="Calibri" w:hAnsi="Calibri"/>
          <w:b/>
          <w:bCs/>
          <w:color w:val="094A9E"/>
          <w:sz w:val="22"/>
          <w:szCs w:val="22"/>
        </w:rPr>
        <w:t xml:space="preserve">Service levels</w:t>
      </w:r>
    </w:p>
    <w:tbl>
      <w:tblPr>
        <w:tblW w:type="dxa" w:w="10080"/>
        <w:tblBorders>
          <w:top w:val="single" w:color="C8CDD4" w:sz="2"/>
          <w:left w:val="none" w:color="auto" w:sz="0"/>
          <w:bottom w:val="single" w:color="C8CDD4" w:sz="2"/>
          <w:right w:val="none" w:color="auto" w:sz="0"/>
          <w:insideH w:val="single" w:color="C8CDD4" w:sz="2"/>
          <w:insideV w:val="none" w:color="auto" w:sz="0"/>
        </w:tblBorders>
      </w:tblPr>
      <w:tblGrid>
        <w:gridCol w:w="4637"/>
        <w:gridCol w:w="5443"/>
      </w:tblGrid>
      <w:tr>
        <w:trPr>
          <w:tblHeader/>
        </w:trPr>
        <w:tc>
          <w:tcPr>
            <w:tcW w:type="dxa" w:w="4637"/>
            <w:shd w:fill="F2F5F9" w:color="auto" w:val="clear"/>
            <w:tcMar>
              <w:top w:type="dxa" w:w="90"/>
              <w:left w:type="dxa" w:w="120"/>
              <w:bottom w:type="dxa" w:w="90"/>
              <w:right w:type="dxa" w:w="120"/>
            </w:tcMar>
          </w:tcPr>
          <w:p>
            <w:pPr>
              <w:spacing w:after="0" w:before="0" w:line="240"/>
            </w:pPr>
            <w:r>
              <w:rPr>
                <w:rFonts w:ascii="Calibri" w:cs="Calibri" w:eastAsia="Calibri" w:hAnsi="Calibri"/>
                <w:b/>
                <w:bCs/>
                <w:color w:val="094A9E"/>
                <w:sz w:val="18"/>
                <w:szCs w:val="18"/>
              </w:rPr>
              <w:t xml:space="preserve">Commitment</w:t>
            </w:r>
          </w:p>
        </w:tc>
        <w:tc>
          <w:tcPr>
            <w:tcW w:type="dxa" w:w="5443"/>
            <w:shd w:fill="F2F5F9" w:color="auto" w:val="clear"/>
            <w:tcMar>
              <w:top w:type="dxa" w:w="90"/>
              <w:left w:type="dxa" w:w="120"/>
              <w:bottom w:type="dxa" w:w="90"/>
              <w:right w:type="dxa" w:w="120"/>
            </w:tcMar>
          </w:tcPr>
          <w:p>
            <w:pPr>
              <w:spacing w:after="0" w:before="0" w:line="240"/>
            </w:pPr>
            <w:r>
              <w:rPr>
                <w:rFonts w:ascii="Calibri" w:cs="Calibri" w:eastAsia="Calibri" w:hAnsi="Calibri"/>
                <w:b/>
                <w:bCs/>
                <w:color w:val="094A9E"/>
                <w:sz w:val="18"/>
                <w:szCs w:val="18"/>
              </w:rPr>
              <w:t xml:space="preserve">Standard</w:t>
            </w:r>
          </w:p>
        </w:tc>
      </w:tr>
      <w:tr>
        <w:tc>
          <w:tcPr>
            <w:tcW w:type="dxa" w:w="4637"/>
            <w:tcMar>
              <w:top w:type="dxa" w:w="90"/>
              <w:left w:type="dxa" w:w="120"/>
              <w:bottom w:type="dxa" w:w="90"/>
              <w:right w:type="dxa" w:w="120"/>
            </w:tcMar>
          </w:tcPr>
          <w:p>
            <w:pPr>
              <w:spacing w:after="0" w:before="0" w:line="240"/>
            </w:pPr>
            <w:r>
              <w:rPr>
                <w:rFonts w:ascii="Calibri" w:cs="Calibri" w:eastAsia="Calibri" w:hAnsi="Calibri"/>
                <w:color w:val="595959"/>
                <w:sz w:val="18"/>
                <w:szCs w:val="18"/>
              </w:rPr>
              <w:t xml:space="preserve">Selling Authorization, request to issue</w:t>
            </w:r>
          </w:p>
        </w:tc>
        <w:tc>
          <w:tcPr>
            <w:tcW w:type="dxa" w:w="5443"/>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4 business days</w:t>
            </w:r>
          </w:p>
        </w:tc>
      </w:tr>
      <w:tr>
        <w:tc>
          <w:tcPr>
            <w:tcW w:type="dxa" w:w="4637"/>
            <w:tcMar>
              <w:top w:type="dxa" w:w="90"/>
              <w:left w:type="dxa" w:w="120"/>
              <w:bottom w:type="dxa" w:w="90"/>
              <w:right w:type="dxa" w:w="120"/>
            </w:tcMar>
          </w:tcPr>
          <w:p>
            <w:pPr>
              <w:spacing w:after="0" w:before="0" w:line="240"/>
            </w:pPr>
            <w:r>
              <w:rPr>
                <w:rFonts w:ascii="Calibri" w:cs="Calibri" w:eastAsia="Calibri" w:hAnsi="Calibri"/>
                <w:color w:val="595959"/>
                <w:sz w:val="18"/>
                <w:szCs w:val="18"/>
              </w:rPr>
              <w:t xml:space="preserve">Monthly reporting pack</w:t>
            </w:r>
          </w:p>
        </w:tc>
        <w:tc>
          <w:tcPr>
            <w:tcW w:type="dxa" w:w="5443"/>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Within 5 business days of month end</w:t>
            </w:r>
          </w:p>
        </w:tc>
      </w:tr>
      <w:tr>
        <w:tc>
          <w:tcPr>
            <w:tcW w:type="dxa" w:w="4637"/>
            <w:tcMar>
              <w:top w:type="dxa" w:w="90"/>
              <w:left w:type="dxa" w:w="120"/>
              <w:bottom w:type="dxa" w:w="90"/>
              <w:right w:type="dxa" w:w="120"/>
            </w:tcMar>
          </w:tcPr>
          <w:p>
            <w:pPr>
              <w:spacing w:after="0" w:before="0" w:line="240"/>
            </w:pPr>
            <w:r>
              <w:rPr>
                <w:rFonts w:ascii="Calibri" w:cs="Calibri" w:eastAsia="Calibri" w:hAnsi="Calibri"/>
                <w:color w:val="595959"/>
                <w:sz w:val="18"/>
                <w:szCs w:val="18"/>
              </w:rPr>
              <w:t xml:space="preserve">Cannot transact, or portal unavailable</w:t>
            </w:r>
          </w:p>
        </w:tc>
        <w:tc>
          <w:tcPr>
            <w:tcW w:type="dxa" w:w="5443"/>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1 business hour response, updates every 4 business hours</w:t>
            </w:r>
          </w:p>
        </w:tc>
      </w:tr>
      <w:tr>
        <w:tc>
          <w:tcPr>
            <w:tcW w:type="dxa" w:w="4637"/>
            <w:tcMar>
              <w:top w:type="dxa" w:w="90"/>
              <w:left w:type="dxa" w:w="120"/>
              <w:bottom w:type="dxa" w:w="90"/>
              <w:right w:type="dxa" w:w="120"/>
            </w:tcMar>
          </w:tcPr>
          <w:p>
            <w:pPr>
              <w:spacing w:after="0" w:before="0" w:line="240"/>
            </w:pPr>
            <w:r>
              <w:rPr>
                <w:rFonts w:ascii="Calibri" w:cs="Calibri" w:eastAsia="Calibri" w:hAnsi="Calibri"/>
                <w:color w:val="595959"/>
                <w:sz w:val="18"/>
                <w:szCs w:val="18"/>
              </w:rPr>
              <w:t xml:space="preserve">Partner blocked on a live deal</w:t>
            </w:r>
          </w:p>
        </w:tc>
        <w:tc>
          <w:tcPr>
            <w:tcW w:type="dxa" w:w="5443"/>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4 business hour response, daily updates</w:t>
            </w:r>
          </w:p>
        </w:tc>
      </w:tr>
      <w:tr>
        <w:tc>
          <w:tcPr>
            <w:tcW w:type="dxa" w:w="4637"/>
            <w:tcMar>
              <w:top w:type="dxa" w:w="90"/>
              <w:left w:type="dxa" w:w="120"/>
              <w:bottom w:type="dxa" w:w="90"/>
              <w:right w:type="dxa" w:w="120"/>
            </w:tcMar>
          </w:tcPr>
          <w:p>
            <w:pPr>
              <w:spacing w:after="0" w:before="0" w:line="240"/>
            </w:pPr>
            <w:r>
              <w:rPr>
                <w:rFonts w:ascii="Calibri" w:cs="Calibri" w:eastAsia="Calibri" w:hAnsi="Calibri"/>
                <w:color w:val="595959"/>
                <w:sz w:val="18"/>
                <w:szCs w:val="18"/>
              </w:rPr>
              <w:t xml:space="preserve">Query not blocking a deal</w:t>
            </w:r>
          </w:p>
        </w:tc>
        <w:tc>
          <w:tcPr>
            <w:tcW w:type="dxa" w:w="5443"/>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1 business day response</w:t>
            </w:r>
          </w:p>
        </w:tc>
      </w:tr>
      <w:tr>
        <w:tc>
          <w:tcPr>
            <w:tcW w:type="dxa" w:w="4637"/>
            <w:tcMar>
              <w:top w:type="dxa" w:w="90"/>
              <w:left w:type="dxa" w:w="120"/>
              <w:bottom w:type="dxa" w:w="90"/>
              <w:right w:type="dxa" w:w="120"/>
            </w:tcMar>
          </w:tcPr>
          <w:p>
            <w:pPr>
              <w:spacing w:after="0" w:before="0" w:line="240"/>
            </w:pPr>
            <w:r>
              <w:rPr>
                <w:rFonts w:ascii="Calibri" w:cs="Calibri" w:eastAsia="Calibri" w:hAnsi="Calibri"/>
                <w:color w:val="595959"/>
                <w:sz w:val="18"/>
                <w:szCs w:val="18"/>
              </w:rPr>
              <w:t xml:space="preserve">Information or change request</w:t>
            </w:r>
          </w:p>
        </w:tc>
        <w:tc>
          <w:tcPr>
            <w:tcW w:type="dxa" w:w="5443"/>
            <w:tcMar>
              <w:top w:type="dxa" w:w="90"/>
              <w:left w:type="dxa" w:w="120"/>
              <w:bottom w:type="dxa" w:w="90"/>
              <w:right w:type="dxa" w:w="120"/>
            </w:tcMar>
          </w:tcPr>
          <w:p>
            <w:pPr>
              <w:spacing w:after="0" w:before="0" w:line="240"/>
            </w:pPr>
            <w:r>
              <w:rPr>
                <w:rFonts w:ascii="Calibri" w:cs="Calibri" w:eastAsia="Calibri" w:hAnsi="Calibri"/>
                <w:color w:val="1A1A1A"/>
                <w:sz w:val="18"/>
                <w:szCs w:val="18"/>
              </w:rPr>
              <w:t xml:space="preserve">3 business days response</w:t>
            </w:r>
          </w:p>
        </w:tc>
      </w:tr>
    </w:tbl>
    <w:p>
      <w:pPr>
        <w:spacing w:after="60" w:before="0" w:line="252"/>
      </w:pPr>
    </w:p>
    <w:p>
      <w:pPr>
        <w:spacing w:after="100" w:before="0" w:line="252"/>
      </w:pPr>
      <w:r>
        <w:rPr>
          <w:rFonts w:ascii="Calibri" w:cs="Calibri" w:eastAsia="Calibri" w:hAnsi="Calibri"/>
          <w:color w:val="1A1A1A"/>
          <w:sz w:val="19"/>
          <w:szCs w:val="19"/>
        </w:rPr>
        <w:t xml:space="preserve">All contact arrives through a single intake channel, triaged within 2 business hours.</w:t>
      </w:r>
    </w:p>
    <w:p>
      <w:pPr>
        <w:pBdr>
          <w:bottom w:val="single" w:color="094A9E" w:sz="4" w:space="4"/>
        </w:pBdr>
        <w:spacing w:after="100" w:before="220"/>
      </w:pPr>
      <w:r>
        <w:rPr>
          <w:rFonts w:ascii="Calibri" w:cs="Calibri" w:eastAsia="Calibri" w:hAnsi="Calibri"/>
          <w:b/>
          <w:bCs/>
          <w:color w:val="094A9E"/>
          <w:sz w:val="22"/>
          <w:szCs w:val="22"/>
        </w:rPr>
        <w:t xml:space="preserve">What gets reported</w:t>
      </w:r>
    </w:p>
    <w:p>
      <w:pPr>
        <w:spacing w:after="100" w:before="0" w:line="252"/>
      </w:pPr>
      <w:r>
        <w:rPr>
          <w:rFonts w:ascii="Calibri" w:cs="Calibri" w:eastAsia="Calibri" w:hAnsi="Calibri"/>
          <w:color w:val="1A1A1A"/>
          <w:sz w:val="19"/>
          <w:szCs w:val="19"/>
        </w:rPr>
        <w:t xml:space="preserve">The headline number is </w:t>
      </w:r>
      <w:r>
        <w:rPr>
          <w:rFonts w:ascii="Calibri" w:cs="Calibri" w:eastAsia="Calibri" w:hAnsi="Calibri"/>
          <w:b/>
          <w:bCs/>
          <w:color w:val="1A1A1A"/>
          <w:sz w:val="19"/>
          <w:szCs w:val="19"/>
        </w:rPr>
        <w:t xml:space="preserve">Offer-Issuing Partners</w:t>
      </w:r>
      <w:r>
        <w:rPr>
          <w:rFonts w:ascii="Calibri" w:cs="Calibri" w:eastAsia="Calibri" w:hAnsi="Calibri"/>
          <w:color w:val="1A1A1A"/>
          <w:sz w:val="19"/>
          <w:szCs w:val="19"/>
        </w:rPr>
        <w:t xml:space="preserve"> — distinct partners that issued at least one private offer or CPPO against your listing that month, read from the portal and reconciled against AWS Marketplace seller reporting.</w:t>
      </w:r>
    </w:p>
    <w:p>
      <w:pPr>
        <w:spacing w:after="100" w:before="0" w:line="252"/>
      </w:pPr>
      <w:r>
        <w:rPr>
          <w:rFonts w:ascii="Calibri" w:cs="Calibri" w:eastAsia="Calibri" w:hAnsi="Calibri"/>
          <w:color w:val="1A1A1A"/>
          <w:sz w:val="19"/>
          <w:szCs w:val="19"/>
        </w:rPr>
        <w:t xml:space="preserve">Alongside it: partners onboarded this month and cumulatively, partners pending AWS prerequisites, active partners, deal registrations received, approved and declined, deal desk performance, Selling Authorizations requested and issued, and attributed channel revenue.</w:t>
      </w:r>
    </w:p>
    <w:p>
      <w:pPr>
        <w:pBdr>
          <w:bottom w:val="single" w:color="094A9E" w:sz="4" w:space="4"/>
        </w:pBdr>
        <w:spacing w:after="100" w:before="220"/>
      </w:pPr>
      <w:r>
        <w:rPr>
          <w:rFonts w:ascii="Calibri" w:cs="Calibri" w:eastAsia="Calibri" w:hAnsi="Calibri"/>
          <w:b/>
          <w:bCs/>
          <w:color w:val="094A9E"/>
          <w:sz w:val="22"/>
          <w:szCs w:val="22"/>
        </w:rPr>
        <w:t xml:space="preserve">Not included</w:t>
      </w:r>
    </w:p>
    <w:p>
      <w:pPr>
        <w:spacing w:after="100" w:before="0" w:line="252"/>
      </w:pPr>
      <w:r>
        <w:rPr>
          <w:rFonts w:ascii="Calibri" w:cs="Calibri" w:eastAsia="Calibri" w:hAnsi="Calibri"/>
          <w:color w:val="1A1A1A"/>
          <w:sz w:val="19"/>
          <w:szCs w:val="19"/>
        </w:rPr>
        <w:t xml:space="preserve">Bespoke integration work, partner marketing spend, channel incentive funding, legal advice, and services to your own direct customers. Each is quoted separately.</w:t>
      </w:r>
    </w:p>
    <w:p>
      <w:pPr>
        <w:pBdr>
          <w:top w:val="single" w:color="C8CDD4" w:sz="4" w:space="8"/>
        </w:pBdr>
        <w:spacing w:after="0" w:before="200"/>
      </w:pPr>
    </w:p>
    <w:p>
      <w:pPr>
        <w:spacing w:after="100" w:before="0" w:line="252"/>
      </w:pPr>
      <w:r>
        <w:rPr>
          <w:rFonts w:ascii="Calibri" w:cs="Calibri" w:eastAsia="Calibri" w:hAnsi="Calibri"/>
          <w:color w:val="1A1A1A"/>
          <w:sz w:val="19"/>
          <w:szCs w:val="19"/>
        </w:rPr>
        <w:t xml:space="preserve">Partner numbers are recruitment capacity for the tier, not a guaranteed outcome: we do not warrant that any number of partners is recruited, onboarded, authorized, transacts or becomes active. A partner reaching its first transaction by the end of the quarter following signature is a program target, not a warranty. Where AWS Marketplace mechanics require it, the headline number is Partner-Attributed Transactions. Business hours are 9:00 a.m. to 6:00 p.m. Eastern Time on a business day. Scope, service levels and metrics are as set out in the engagement documentation, which governs.</w:t>
      </w:r>
    </w:p>
    <w:sectPr>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 Partner Development</dc:title>
  <dc:creator>Automatum</dc:creator>
  <dc:description>Managed Partner Development - customer-facing overview</dc:description>
  <cp:lastModifiedBy>Un-named</cp:lastModifiedBy>
  <cp:revision>1</cp:revision>
  <dcterms:created xsi:type="dcterms:W3CDTF">2026-09-22T05:42:27.877Z</dcterms:created>
  <dcterms:modified xsi:type="dcterms:W3CDTF">2026-09-22T05:42:27.878Z</dcterms:modified>
</cp:coreProperties>
</file>

<file path=docProps/custom.xml><?xml version="1.0" encoding="utf-8"?>
<Properties xmlns="http://schemas.openxmlformats.org/officeDocument/2006/custom-properties" xmlns:vt="http://schemas.openxmlformats.org/officeDocument/2006/docPropsVTypes"/>
</file>