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Practices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OBP principal address] ("</w:t>
      </w:r>
      <w:r>
        <w:rPr>
          <w:rFonts w:ascii="Calibri" w:cs="Calibri" w:eastAsia="Calibri" w:hAnsi="Calibri"/>
          <w:b/>
          <w:bCs/>
          <w:sz w:val="22"/>
          <w:szCs w:val="22"/>
        </w:rPr>
        <w:t xml:space="preserve">OBP</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OBP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The Parties have developed Managed Partner Development, under which a software vendor with a live AWS Marketplace listing engages a single provider to build and run its reseller channel on AWS.</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OBP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OBP.</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OBP-Sourced,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OBP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OBP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Materials</w:t>
      </w:r>
      <w:r>
        <w:rPr>
          <w:rFonts w:ascii="Calibri" w:cs="Calibri" w:eastAsia="Calibri" w:hAnsi="Calibri"/>
          <w:sz w:val="22"/>
          <w:szCs w:val="22"/>
        </w:rPr>
        <w:t xml:space="preserve">" means the methodologies, playbooks, templates, partner agreement and margin schedule forms, curricula, enablement content, processes and know-how OBP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Service Revenue</w:t>
      </w:r>
      <w:r>
        <w:rPr>
          <w:rFonts w:ascii="Calibri" w:cs="Calibri" w:eastAsia="Calibri" w:hAnsi="Calibri"/>
          <w:sz w:val="22"/>
          <w:szCs w:val="22"/>
        </w:rPr>
        <w:t xml:space="preserve">" means OBP's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OBP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OBP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OBP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OBP,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OBP as a delivery subcontractor to perform the Services for Registered Clients under the Automatum Brand, and OBP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OBP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OBP has not relied on any forecast, including any projection in the feasibility study for the Solution.</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OBP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OBP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OBP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OBP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OBP may decline a proposed Engagement Order within 5 Business Days, acting reasonably, including for lack of capacity at the proposed Tier, because the proposed Client competes with an existing OBP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OBP-Sourced,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OBP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OBP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OBP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OBP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OBP's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OBP must recruit and onboard. OBP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OBP is not a party to any partner agreement as principal</w:t>
      </w:r>
      <w:r>
        <w:rPr>
          <w:rFonts w:ascii="Calibri" w:cs="Calibri" w:eastAsia="Calibri" w:hAnsi="Calibri"/>
          <w:sz w:val="22"/>
          <w:szCs w:val="22"/>
        </w:rPr>
        <w:t xml:space="preserve"> and will not enter into one in its own name. OBP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OBP's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OBP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OBP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OBP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the Solution and the AWS Business Outcomes Xcelerator submission,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OBP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OBP's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OBP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OBP depends; and any matter in clause 14.3. While a Relief Event continues, OBP is excused from the affected obligation, the affected service levels do not run, and OBP Service Revenue continues to accrue. OBP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OBP a non-exclusive, non-transferable, royalty-free licence for the Term to use the Automatum Brand solely to perform the Services under Schedule 3. OBP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OBP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OBP branding.</w:t>
      </w:r>
      <w:r>
        <w:rPr>
          <w:rFonts w:ascii="Calibri" w:cs="Calibri" w:eastAsia="Calibri" w:hAnsi="Calibri"/>
          <w:sz w:val="22"/>
          <w:szCs w:val="22"/>
        </w:rPr>
        <w:t xml:space="preserve"> OBP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OBP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OBP may disclose its role where required by law, a regulator, an AWS Program Term, or a Client Agreement Automatum has notified to OBP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OBP is the sole employer of its personnel. Automatum does not direct, supervise or control how they perform the Services. OBP's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OBP's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OBP will meet the service levels in Schedule 4, which state for each what starts and stops the clock, the measurement source, and the division between the OBP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OBP is responsible only for the OBP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OBP's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OBP Service Revenue for that Client, but only where the failure was of the OBP leg and attributable to OBP; Automatum actually gave the credit and did not give it ex gratia, as a concession, or in settlement of an unrelated matter without OBP's prior written consent; Automatum applied every exclusion, cap and excused event available to it; and Automatum notified OBP of the claim with supporting evidence within 10 Business Days of receiving it and gave OBP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OBP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OBP.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OBP's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OBP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OBP will notify Automatum within 2 Business Days of becoming aware that a named person will cease in the role. The Backup Channel Manager assumes it immediately. OBP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OBP's cost. This is a request to remove the person from the Engagement, not a direction to dismiss or discipline, and OBP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OBP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OBP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OBP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OBP branding visible to the Client or any Recruited Partner, except where the vendor's licence makes removal impossible, in which case OBP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OBP may process it only to deliver the Services for that Client, and will not use it, identifiable or aggregated, for benchmarking, product development, its own channel business, or any other OBP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OBP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OBP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OBP will procure and maintain from the PSR vendor a written undertaking in the form of Schedule 5 Part D, under which on OBP's insolvency, cessation of business, or termination of this Agreement for OBP's breach, the vendor will contract directly with Automatum or its nominee for the remainder of the affected Engagement Orders plus the transition period, at the same or benchmarked rates, with tenant data intact. This is a condition to OBP's first Engagement Order. If the vendor will not give it, OBP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OBP, a material service failure threatening a Registered Client's service levels, or an AWS compliance event. OBP will then grant Automatum and any nominee access, credentials and administrative rights to the PSR and a royalty-free licence to the OBP Materials for the remainder of the affected Engagement Orders plus the transition period. Step-in does not relieve OBP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OBP,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OBP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OBP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OBP will invoice Automatum monthly in arrears for the OBP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OBP's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OBP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OBP Service Revenue without OBP's prior written consent. If it does, OBP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OBP may not suspend any client-facing element of the Services for non-payment unless payment is more than 60 days overdue and OBP has given 15 Business Days' written notice to Automatum. OBP's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OBP may audit Automatum's records of Client Fees invoiced and collected for Registered Clients, on 30 days' notice, in business hours, at OBP's cost. If the audit shows an understatement of OBP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OBP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OBP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OBP's compliance once per calendar year on 30 days' notice, in business hours, at Automatum's cost, and more frequently after a Chronic Failure or security incident. Audits will not require disclosure of another OBP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here or in the feasibility study for the Solution is a commitment by AWS, including its reference to ACE opportunity submissions, which Schedule 8 records as a programme assumption only.</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attribute it to one solution identifier, applying the higher-tier offering's commitment structure, so no opportunity is billed twice. Schedule 8 records the worked basis and the tie-break where tiers are equal.</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OBP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OBP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OBP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OBP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OBP working with firms it has recruited would protect no legitimate interest. OBP may work with any Recruited Partner on other engagements. During the Term and for 12 months after, OBP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OBP Materials outside the licence in clause 16.3, or using personnel recruited from OBP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OBP breaches clause 15.2 in respect of a Registered Client, OBP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OBP retains all rights in the OBP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16.3 Client-facing deliverables.</w:t>
      </w:r>
      <w:r>
        <w:rPr>
          <w:rFonts w:ascii="Calibri" w:cs="Calibri" w:eastAsia="Calibri" w:hAnsi="Calibri"/>
          <w:sz w:val="22"/>
          <w:szCs w:val="22"/>
        </w:rPr>
        <w:t xml:space="preserve"> OBP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w:t>
      </w:r>
    </w:p>
    <w:p>
      <w:pPr>
        <w:spacing w:after="160" w:before="0" w:line="276"/>
        <w:jc w:val="both"/>
      </w:pPr>
      <w:r>
        <w:rPr>
          <w:rFonts w:ascii="Calibri" w:cs="Calibri" w:eastAsia="Calibri" w:hAnsi="Calibri"/>
          <w:b/>
          <w:bCs/>
          <w:sz w:val="22"/>
          <w:szCs w:val="22"/>
        </w:rPr>
        <w:t xml:space="preserve">16.4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OBP's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OBP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OBP's obligations.</w:t>
      </w:r>
      <w:r>
        <w:rPr>
          <w:rFonts w:ascii="Calibri" w:cs="Calibri" w:eastAsia="Calibri" w:hAnsi="Calibri"/>
          <w:sz w:val="22"/>
          <w:szCs w:val="22"/>
        </w:rPr>
        <w:t xml:space="preserve"> OBP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OBP may engage subprocessors only from the list in Schedule 5 Part C or with Automatum's prior written consent, will impose equivalent obligations on them, and remains liable for them. OBP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OBP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OBP.</w:t>
      </w:r>
      <w:r>
        <w:rPr>
          <w:rFonts w:ascii="Calibri" w:cs="Calibri" w:eastAsia="Calibri" w:hAnsi="Calibri"/>
          <w:sz w:val="22"/>
          <w:szCs w:val="22"/>
        </w:rPr>
        <w:t xml:space="preserve"> OBP warrants that it will perform the Services with reasonable skill and care and to good industry practice; that its personnel are suitably skilled, qualified and experienced; that clause 10.1 is accurate; and that the Services and OBP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OBP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OBP.</w:t>
      </w:r>
      <w:r>
        <w:rPr>
          <w:rFonts w:ascii="Calibri" w:cs="Calibri" w:eastAsia="Calibri" w:hAnsi="Calibri"/>
          <w:sz w:val="22"/>
          <w:szCs w:val="22"/>
        </w:rPr>
        <w:t xml:space="preserve"> OBP will defend Automatum against any third party claim, and indemnify it against Losses finally awarded or agreed in settlement, arising from infringement of intellectual property rights by the Services or OBP Materials; OBP's breach of clause 18; its breach of an AWS Program Term; its breach of clause 15; and any claim by OBP's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OBP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OBP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OBP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OBP's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OBP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OBP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OBP will provide transition assistance for 90 days, extendable by Automatum to 180 days on notice given before the initial period ends. It is at OBP's cost where termination is for OBP's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16.3.</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OBP continues to perform the Services, the service levels continue to apply, and clause 7 continues to apply so that no Client or Recruited Partner learns of OBP's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including the feasibility study for the Solution, which is a discussion document and binds neither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16.3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OBP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OBP's obligation is throughput:</w:t>
      </w:r>
    </w:p>
    <w:p>
      <w:pPr>
        <w:pStyle w:val="ListParagraph"/>
        <w:numPr>
          <w:ilvl w:val="0"/>
          <w:numId w:val="1"/>
        </w:numPr>
        <w:spacing w:after="80" w:before="40" w:line="276"/>
      </w:pPr>
      <w:r>
        <w:rPr>
          <w:rFonts w:ascii="Calibri" w:cs="Calibri" w:eastAsia="Calibri" w:hAnsi="Calibri"/>
          <w:sz w:val="22"/>
          <w:szCs w:val="22"/>
        </w:rPr>
        <w:t xml:space="preserve">OBP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OBP's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OBP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OBP,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9"/>
        <w:gridCol w:w="2026"/>
        <w:gridCol w:w="1833"/>
        <w:gridCol w:w="1544"/>
        <w:gridCol w:w="2123"/>
        <w:gridCol w:w="1255"/>
      </w:tblGrid>
      <w:tr>
        <w:trPr>
          <w:tblHeader/>
        </w:trPr>
        <w:tc>
          <w:tcPr>
            <w:tcW w:type="dxa" w:w="5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20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8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4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2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OBP</w:t>
            </w:r>
          </w:p>
        </w:tc>
        <w:tc>
          <w:tcPr>
            <w:tcW w:type="dxa" w:w="125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OBP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7"/>
        <w:gridCol w:w="1692"/>
        <w:gridCol w:w="1128"/>
        <w:gridCol w:w="1692"/>
        <w:gridCol w:w="1466"/>
        <w:gridCol w:w="2705"/>
      </w:tblGrid>
      <w:tr>
        <w:trPr>
          <w:tblHeader/>
        </w:trPr>
        <w:tc>
          <w:tcPr>
            <w:tcW w:type="dxa" w:w="67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2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(75%)</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4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c>
          <w:tcPr>
            <w:tcW w:type="dxa" w:w="27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OBP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OBP and $12,500.25 to Automatum, and OBP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0"/>
        <w:gridCol w:w="7370"/>
      </w:tblGrid>
      <w:tr>
        <w:trPr>
          <w:tblHeader/>
        </w:trPr>
        <w:tc>
          <w:tcPr>
            <w:tcW w:type="dxa" w:w="199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7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OBP's breach or Chronic Failure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OBP forfeits its share of any early termination charge and funds transition assistance under clause 24.1.</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OBP is paid the greater of 3 months' OBP Service Revenue and the OBP Service Revenue for the remainder of the Engagement Year, plus evidenced demobilization costs.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OBP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OBP's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OBP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OBP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OBP personnel's hours, supervise their manner of work, conduct their performance reviews or determine their compensation. OBP supplies their equipment and working environment. Requests about an individual go to OBP's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OBP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OBP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OBP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OBP or PSR vendor branding, subject to clause 10.2. Automatum supplies brand guidelines and approves templates, and OBP will not vary an approved template in a way affecting the Automatum Brand without approval. OBP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OBP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OBP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5"/>
        <w:gridCol w:w="3098"/>
        <w:gridCol w:w="3362"/>
        <w:gridCol w:w="2505"/>
      </w:tblGrid>
      <w:tr>
        <w:trPr>
          <w:tblHeader/>
        </w:trPr>
        <w:tc>
          <w:tcPr>
            <w:tcW w:type="dxa" w:w="39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9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36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Complete request to Issuance-Ready Package</w:t>
            </w:r>
          </w:p>
        </w:tc>
        <w:tc>
          <w:tcPr>
            <w:tcW w:type="dxa" w:w="25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OBP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metric the feasibility study calls "partners issuing offers":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6"/>
        <w:gridCol w:w="1248"/>
        <w:gridCol w:w="2246"/>
      </w:tblGrid>
      <w:tr>
        <w:trPr>
          <w:tblHeader/>
        </w:trPr>
        <w:tc>
          <w:tcPr>
            <w:tcW w:type="dxa" w:w="58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4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24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OBP</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OBP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OBP's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OBP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OBP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OBP-built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OBP's insolvency, cessation of business, or termination of this Agreement for OBP's breach, the vendor will at Automatum's election and on its notice contract directly with Automatum or its nominee for the remainder of the affected Engagement Orders plus the transition period in clause 24.1; at the rates OBP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26"/>
        <w:gridCol w:w="4434"/>
      </w:tblGrid>
      <w:tr>
        <w:trPr>
          <w:tblHeader/>
        </w:trPr>
        <w:tc>
          <w:tcPr>
            <w:tcW w:type="dxa" w:w="49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4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OBP-Sourced / Automatum-Sourced / Joint or ACE-Sourced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100% OBP (Net New) / 75% OBP, 25% Automatum (Existing)</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OBP.</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known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requiring a decision or test, and every one inside an operative obligation carries a default that applies if this Agreement is executed before it is closed.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neither Party controls,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study's arithmetic assumes this: at Tier 1 the stated $9,999 and $20,001 sum to exactly $30,000.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Tier 1 cost to serve.</w:t>
      </w:r>
      <w:r>
        <w:rPr>
          <w:rFonts w:ascii="Calibri" w:cs="Calibri" w:eastAsia="Calibri" w:hAnsi="Calibri"/>
          <w:sz w:val="22"/>
          <w:szCs w:val="22"/>
        </w:rPr>
        <w:t xml:space="preserve"> The study records that PSR licensing was stress-tested against the lowest tier but records nothing about labour. At Tier 1 the $20,001 of Service Revenue funds a named Channel Manager, a named Backup, a deal desk answering by close of the next Business Day, two training sessions, four Channel Reviews, up to six partner recruitments and the PSR licence. </w:t>
      </w:r>
      <w:r>
        <w:rPr>
          <w:rFonts w:ascii="Calibri" w:cs="Calibri" w:eastAsia="Calibri" w:hAnsi="Calibri"/>
          <w:b/>
          <w:bCs/>
          <w:sz w:val="22"/>
          <w:szCs w:val="22"/>
        </w:rPr>
        <w:t xml:space="preserve">Open commercial item: whether Tier 1 is viable at that price.</w:t>
      </w:r>
      <w:r>
        <w:rPr>
          <w:rFonts w:ascii="Calibri" w:cs="Calibri" w:eastAsia="Calibri" w:hAnsi="Calibri"/>
          <w:sz w:val="22"/>
          <w:szCs w:val="22"/>
        </w:rPr>
        <w:t xml:space="preserve"> Neither Party warrants that it is.</w:t>
      </w:r>
    </w:p>
    <w:p>
      <w:pPr>
        <w:spacing w:after="160" w:before="0" w:line="276"/>
        <w:jc w:val="both"/>
      </w:pPr>
      <w:r>
        <w:rPr>
          <w:rFonts w:ascii="Calibri" w:cs="Calibri" w:eastAsia="Calibri" w:hAnsi="Calibri"/>
          <w:b/>
          <w:bCs/>
          <w:sz w:val="22"/>
          <w:szCs w:val="22"/>
        </w:rPr>
        <w:t xml:space="preserve">3.4 Automatum's margin as prime.</w:t>
      </w:r>
      <w:r>
        <w:rPr>
          <w:rFonts w:ascii="Calibri" w:cs="Calibri" w:eastAsia="Calibri" w:hAnsi="Calibri"/>
          <w:sz w:val="22"/>
          <w:szCs w:val="22"/>
        </w:rPr>
        <w:t xml:space="preserve"> On a Net New Client at Tier 3 the Platform Revenue is 11.1% of gross while Automatum carries client credit risk, service level liability, collection risk and the client relationship. </w:t>
      </w:r>
      <w:r>
        <w:rPr>
          <w:rFonts w:ascii="Calibri" w:cs="Calibri" w:eastAsia="Calibri" w:hAnsi="Calibri"/>
          <w:b/>
          <w:bCs/>
          <w:sz w:val="22"/>
          <w:szCs w:val="22"/>
        </w:rPr>
        <w:t xml:space="preserve">Open commercial item: whether the Platform Revenue is a margin or a pass-through of Automatum's own cost.</w:t>
      </w:r>
      <w:r>
        <w:rPr>
          <w:rFonts w:ascii="Calibri" w:cs="Calibri" w:eastAsia="Calibri" w:hAnsi="Calibri"/>
          <w:sz w:val="22"/>
          <w:szCs w:val="22"/>
        </w:rPr>
        <w:t xml:space="preserve"> Clause 11.1(b) answers the equivalent question for an Existing Automatum Client by giving Automatum 25% of Service Revenue; no equivalent applies to a Net New Client.</w:t>
      </w:r>
    </w:p>
    <w:p>
      <w:pPr>
        <w:spacing w:after="160" w:before="0" w:line="276"/>
        <w:jc w:val="both"/>
      </w:pPr>
      <w:r>
        <w:rPr>
          <w:rFonts w:ascii="Calibri" w:cs="Calibri" w:eastAsia="Calibri" w:hAnsi="Calibri"/>
          <w:b/>
          <w:bCs/>
          <w:sz w:val="22"/>
          <w:szCs w:val="22"/>
        </w:rPr>
        <w:t xml:space="preserve">3.5 Stress testing at the wrong end.</w:t>
      </w:r>
      <w:r>
        <w:rPr>
          <w:rFonts w:ascii="Calibri" w:cs="Calibri" w:eastAsia="Calibri" w:hAnsi="Calibri"/>
          <w:sz w:val="22"/>
          <w:szCs w:val="22"/>
        </w:rPr>
        <w:t xml:space="preserve"> PSR licensing was stress-tested against Tier 1, the most predictable case, while Tier 3 carries an uncapped roster. If the PSR is priced per partner or seat, Tier 3 is where the model breaks. Schedule 5 Part A records the question and Schedule 1 paragraph 3 provides the pass-through.</w:t>
      </w:r>
    </w:p>
    <w:p>
      <w:pPr>
        <w:spacing w:after="160" w:before="0" w:line="276"/>
        <w:jc w:val="both"/>
      </w:pPr>
      <w:r>
        <w:rPr>
          <w:rFonts w:ascii="Calibri" w:cs="Calibri" w:eastAsia="Calibri" w:hAnsi="Calibri"/>
          <w:b/>
          <w:bCs/>
          <w:sz w:val="22"/>
          <w:szCs w:val="22"/>
        </w:rPr>
        <w:t xml:space="preserve">3.6 AWS is not committed.</w:t>
      </w:r>
      <w:r>
        <w:rPr>
          <w:rFonts w:ascii="Calibri" w:cs="Calibri" w:eastAsia="Calibri" w:hAnsi="Calibri"/>
          <w:sz w:val="22"/>
          <w:szCs w:val="22"/>
        </w:rPr>
        <w:t xml:space="preserve"> The study's reference to five ACE opportunity submissions is a programme assumption only, not a commitment by AWS, Automatum or OBP. Clause 13.3 governs.</w:t>
      </w:r>
    </w:p>
    <w:p>
      <w:pPr>
        <w:spacing w:after="160" w:before="0" w:line="276"/>
        <w:jc w:val="both"/>
      </w:pPr>
      <w:r>
        <w:rPr>
          <w:rFonts w:ascii="Calibri" w:cs="Calibri" w:eastAsia="Calibri" w:hAnsi="Calibri"/>
          <w:b/>
          <w:bCs/>
          <w:sz w:val="22"/>
          <w:szCs w:val="22"/>
        </w:rPr>
        <w:t xml:space="preserve">3.7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27"/>
        <w:gridCol w:w="733"/>
      </w:tblGrid>
      <w:tr>
        <w:trPr>
          <w:tblHeader/>
        </w:trPr>
        <w:tc>
          <w:tcPr>
            <w:tcW w:type="dxa" w:w="862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7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OBP files partner-sourced opportunities under clause 5.1(j)</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 and the tie-break where overlapping offerings are of equal tier</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OBP's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Terms chosen as market defaults</w:t>
      </w:r>
    </w:p>
    <w:p>
      <w:pPr>
        <w:spacing w:after="160" w:before="0" w:line="276"/>
        <w:jc w:val="both"/>
      </w:pPr>
      <w:r>
        <w:rPr>
          <w:rFonts w:ascii="Calibri" w:cs="Calibri" w:eastAsia="Calibri" w:hAnsi="Calibri"/>
          <w:sz w:val="22"/>
          <w:szCs w:val="22"/>
        </w:rPr>
        <w:t xml:space="preserve">Not in the feasibility study, drafted as market-standard defaults and flagged for a deliberate decision: the service credit caps in clause 8.5; the liability caps in clauses 21.3 and 21.4; the non-circumvention tails in clauses 15.2, 15.3 and 15.5 and the liquidated sums in clauses 15.5 and 15.6; the payment terms and longstop in clause 11.4; the Initial Term in clause 23.1; and the transition period in clause 24.1.</w:t>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Practices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Practices white label delivery agreement</dc:description>
  <cp:lastModifiedBy>Un-named</cp:lastModifiedBy>
  <cp:revision>1</cp:revision>
  <dcterms:created xsi:type="dcterms:W3CDTF">2026-09-20T22:33:25.006Z</dcterms:created>
  <dcterms:modified xsi:type="dcterms:W3CDTF">2026-09-20T22:33:25.017Z</dcterms:modified>
</cp:coreProperties>
</file>

<file path=docProps/custom.xml><?xml version="1.0" encoding="utf-8"?>
<Properties xmlns="http://schemas.openxmlformats.org/officeDocument/2006/custom-properties" xmlns:vt="http://schemas.openxmlformats.org/officeDocument/2006/docPropsVTypes"/>
</file>