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(the "</w:t>
      </w:r>
      <w:r>
        <w:rPr>
          <w:rFonts w:ascii="Calibri" w:cs="Calibri" w:eastAsia="Calibri" w:hAnsi="Calibri"/>
          <w:b/>
          <w:bCs/>
          <w:sz w:val="22"/>
          <w:szCs w:val="22"/>
        </w:rPr>
        <w:t xml:space="preserve">Effective Date</w:t>
      </w:r>
      <w:r>
        <w:rPr>
          <w:rFonts w:ascii="Calibri" w:cs="Calibri" w:eastAsia="Calibri" w:hAnsi="Calibri"/>
          <w:sz w:val="22"/>
          <w:szCs w:val="22"/>
        </w:rPr>
        <w:t xml:space="preserv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a service developed and owned by OBVG and comprised in the OBVG Materials, under which a software vendor with a live AWS Marketplace listing engages a single provider to build and run its reseller channel on AWS. Automatum offers it to its clients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is the sole counterparty to each client. OBVG performs the channel function as Automatum's subcontractor under the Automatum Brand and is not presented to the client as a separate provider.</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allocated between the Parties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A bracketed item marked "to confirm" within an operative provision has the value stated for it in Schedule 8 paragraph 4 until the Parties confirm a different value in writing. The items in Schedule 8 paragraph 1 are dependencies to which clause 14 applies.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for each Party. Automatum may perform the Services itself or appoint others for any client, and OBVG may provide the same or similar services to anyone, including another AWS Marketplace seller. This is subject only to clause 15.</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Client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excluded from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Client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11.1.</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A Client is OBVG-Sourced or Automatum-Sourced according to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26.1.</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establish,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ceiling.</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OBVG is not a party to any partner agreement as principal and will not enter into one in its own name. OBVG administers them as agent under, and only to the extent of, the authority in the Engagement Order.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Clause 6.3 governs issuance.</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provides first-line support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is responsible for the AWS relationship for the listing and the Solution, including for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Client Agreement baseline.</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clause 8.5, a guaranteed partner number, transaction volume, revenue outcome or activation rate, or a metric definition inconsistent with Schedule 4. Anything agreed beyond this baseline is Automatum's own risk, is excluded from clause 8.4, and does not increase OBVG's obligations.</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license.</w:t>
      </w:r>
      <w:r>
        <w:rPr>
          <w:rFonts w:ascii="Calibri" w:cs="Calibri" w:eastAsia="Calibri" w:hAnsi="Calibri"/>
          <w:sz w:val="22"/>
          <w:szCs w:val="22"/>
        </w:rPr>
        <w:t xml:space="preserve"> Automatum grants OBVG a non-exclusive, non-transferable, royalty-free license for the Term and any transition period under clause 24.1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will comply with Schedule 3 in describing their role. Each Party will implement the measures in Schedule 3 relating to employment status.</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measured as Schedule 4 provides.</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The deal desk and Selling Authorization service levels are measured in two legs, the OBVG leg and the Automatum leg, as Schedule 4 provides. OBVG is responsible only for the OBVG leg, and a failure of the Automatum leg gives rise to no flow-down under clause 8.4. Where root cause analysis does not establish which leg caused the failure, responsibility is apportioned equally and either Party may escalate under clause 26.1.</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not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Initial appointees are subject to Automatum's approval,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A removal request does not direct OBVG to dismiss or discipline the person,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provides otherwise.</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capacity ratios in Schedule 7 paragraph 2.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under this Agreement, including to present it under the Automatum Brand and to grant the access and licenses in this clause, and that its own license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license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license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licenses under clauses 10.7 and 10.8 are licenses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Division of Collected Client Fees.</w:t>
      </w:r>
      <w:r>
        <w:rPr>
          <w:rFonts w:ascii="Calibri" w:cs="Calibri" w:eastAsia="Calibri" w:hAnsi="Calibri"/>
          <w:sz w:val="22"/>
          <w:szCs w:val="22"/>
        </w:rPr>
        <w:t xml:space="preserve"> For each Engagement Year the Collected Client Fees divide into Platform Revenue and Service Revenue. Platform Revenue of $9,999 is allocated to Automatum regardless of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Service Revenue is allocated 100% to OBVG.</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continues to pay the Platform Revenue under its existing subscription, which is unchanged, and the Service Revenue is allocated 75% to OBVG and 25% to Automatum.</w:t>
      </w:r>
    </w:p>
    <w:p>
      <w:pPr>
        <w:spacing w:after="160" w:before="0" w:line="276"/>
        <w:jc w:val="both"/>
      </w:pPr>
      <w:r>
        <w:rPr>
          <w:rFonts w:ascii="Calibri" w:cs="Calibri" w:eastAsia="Calibri" w:hAnsi="Calibri"/>
          <w:sz w:val="22"/>
          <w:szCs w:val="22"/>
        </w:rPr>
        <w:t xml:space="preserve">Client Fees for a Tier do not vary with Client Status. Schedule 2 applies.</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Collected Client Fees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Client Fees.</w:t>
      </w:r>
      <w:r>
        <w:rPr>
          <w:rFonts w:ascii="Calibri" w:cs="Calibri" w:eastAsia="Calibri" w:hAnsi="Calibri"/>
          <w:sz w:val="22"/>
          <w:szCs w:val="22"/>
        </w:rPr>
        <w:t xml:space="preserve"> Automatum will invoice Client Fees directly to each Client and will not transact them through AWS Marketplace. If the Parties later agree to transact Client Fees through AWS Marketplace, the allocation of the resulting listing fee must be agreed under clause 14.5 before that begins, and an AWS Marketplace listing fee is deducted in calculating Collected Client Fees only under that agreed allocation.</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that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during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and the dispute is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during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 change.</w:t>
      </w:r>
      <w:r>
        <w:rPr>
          <w:rFonts w:ascii="Calibri" w:cs="Calibri" w:eastAsia="Calibri" w:hAnsi="Calibri"/>
          <w:sz w:val="22"/>
          <w:szCs w:val="22"/>
        </w:rPr>
        <w:t xml:space="preserve"> If AWS changes an AWS Program Term, a Marketplace mechanism or a program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Marketplace authorization dependency.</w:t>
      </w:r>
      <w:r>
        <w:rPr>
          <w:rFonts w:ascii="Calibri" w:cs="Calibri" w:eastAsia="Calibri" w:hAnsi="Calibri"/>
          <w:sz w:val="22"/>
          <w:szCs w:val="22"/>
        </w:rPr>
        <w:t xml:space="preserve"> As at the Effective Date, AWS has not confirmed whether, or by what mechanism, a third party reseller may issue offers against Automatum's listing while Automatum is seller of record. Automatum is responsible for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Neither Party will publish the Tier matrix to the market, and no Engagement Order may be executed at a Tier, until the capacity test in Schedule 8, covering the service levels in Schedule 4 and the Tier 3 roster in Schedule 1,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is obliged to agree to any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Scope.</w:t>
      </w:r>
      <w:r>
        <w:rPr>
          <w:rFonts w:ascii="Calibri" w:cs="Calibri" w:eastAsia="Calibri" w:hAnsi="Calibri"/>
          <w:sz w:val="22"/>
          <w:szCs w:val="22"/>
        </w:rPr>
        <w:t xml:space="preserve"> This clause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license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in this Agreement transfers ownership of the OBVG Materials or the Automatum Brand.</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licenses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license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license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license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defense and settlement, and cooperate reasonably at the indemnifying Party's cost. The indemnifying Party will not settle in a way imposing a non-indemnified obligation or admission of liability without the indemnified Party's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12-month periods unless either Party gives 90 days' notice before the end of the then-current period. "Term" means the Initial Term with any renewal.</w:t>
      </w:r>
    </w:p>
    <w:p>
      <w:pPr>
        <w:spacing w:after="160" w:before="0" w:line="276"/>
        <w:jc w:val="both"/>
      </w:pPr>
      <w:r>
        <w:rPr>
          <w:rFonts w:ascii="Calibri" w:cs="Calibri" w:eastAsia="Calibri" w:hAnsi="Calibri"/>
          <w:b/>
          <w:bCs/>
          <w:sz w:val="22"/>
          <w:szCs w:val="22"/>
        </w:rPr>
        <w:t xml:space="preserve">23.2 Continuation of Engagement Orders.</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together with any other provision that by its nature is intended to survive termination.</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license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During the transition period, OBVG continues to perform the Services, the service levels continue to apply, and clause 7 continues to apply. OBVG will not disclose its role or the termination to any Client or Recruited Partner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 rule is not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in this Agreement.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client-facing deliverables on which its channel operates.</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12-month engagement under which Automatum builds and runs a reseller channel on AWS for a Registered Client. The deliverables are executed partner agreements and a margin schedule, a live partner portal carrying onboarding, deal registration and commission tracking, recruitment and enablement on a named cadence, a deal desk answering registrations, and a monthly report whose primary metric is the Offer-Issuing Partner count. The Services at each Tier are those in clause 5.1, varied only as set out in this Schedule.</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every two weeks</w:t>
            </w:r>
          </w:p>
        </w:tc>
      </w:tr>
    </w:tbl>
    <w:p>
      <w:pPr>
        <w:spacing w:after="160"/>
      </w:pPr>
      <w:r>
        <w:t xml:space="preserve"/>
      </w:r>
    </w:p>
    <w:p>
      <w:pPr>
        <w:spacing w:after="160" w:before="0" w:line="276"/>
        <w:jc w:val="both"/>
      </w:pPr>
      <w:r>
        <w:rPr>
          <w:rFonts w:ascii="Calibri" w:cs="Calibri" w:eastAsia="Calibri" w:hAnsi="Calibri"/>
          <w:sz w:val="22"/>
          <w:szCs w:val="22"/>
        </w:rPr>
        <w:t xml:space="preserve">The remaining Services in clause 5.1 apply at every Tier. Clause 5.2 governs the partner numbers.</w:t>
      </w:r>
    </w:p>
    <w:p>
      <w:pPr>
        <w:pStyle w:val="Heading2"/>
        <w:keepNext/>
        <w:spacing w:after="140" w:before="300"/>
      </w:pPr>
      <w:r>
        <w:rPr>
          <w:rFonts w:ascii="Calibri" w:cs="Calibri" w:eastAsia="Calibri" w:hAnsi="Calibri"/>
          <w:b/>
          <w:bCs/>
          <w:sz w:val="24"/>
          <w:szCs w:val="24"/>
        </w:rPr>
        <w:t xml:space="preserve">3. Tier 3 roster and onboarding throughput</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Tier 3 obligations are as follows:</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the Baseline Assumptions over any rolling 3 months, either Party may invoke clause 14.5 and Automatum will use reasonable efforts to obtain an uplift or a move to a bespoke tier. If the Client will not agree, OBVG's obligation is capped at the Baseline Assumptions plus fair use and Automatum bears any resulting shortfall in its obligations to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license cost passes through at cost under clause 14.5, unless OBVG has warranted in the Engagement Order that it holds an unlimited-partner license.</w:t>
      </w:r>
    </w:p>
    <w:p>
      <w:pPr>
        <w:pStyle w:val="Heading2"/>
        <w:keepNext/>
        <w:spacing w:after="140" w:before="300"/>
      </w:pPr>
      <w:r>
        <w:rPr>
          <w:rFonts w:ascii="Calibri" w:cs="Calibri" w:eastAsia="Calibri" w:hAnsi="Calibri"/>
          <w:b/>
          <w:bCs/>
          <w:sz w:val="24"/>
          <w:szCs w:val="24"/>
        </w:rPr>
        <w:t xml:space="preserve">4. Partner milestones</w:t>
      </w:r>
    </w:p>
    <w:p>
      <w:pPr>
        <w:spacing w:after="160" w:before="0" w:line="276"/>
        <w:jc w:val="both"/>
      </w:pPr>
      <w:r>
        <w:rPr>
          <w:rFonts w:ascii="Calibri" w:cs="Calibri" w:eastAsia="Calibri" w:hAnsi="Calibri"/>
          <w:sz w:val="22"/>
          <w:szCs w:val="22"/>
        </w:rPr>
        <w:t xml:space="preserve">The program target is that a Recruited Partner achieves its first Transaction by the end of the first quarter following its partner agreement signature date. OBVG pursues the target under clause 5.1 and reports progress against it in the monthly reporting pack under clause 12.1. The target is not a warranty. Clause 8.3 applies while a partner is pending AWS registration, tax, banking or service-linked role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Division of Collected Client Fees</w:t>
      </w:r>
    </w:p>
    <w:p>
      <w:pPr>
        <w:spacing w:after="160" w:before="0" w:line="276"/>
        <w:jc w:val="both"/>
      </w:pPr>
      <w:r>
        <w:rPr>
          <w:rFonts w:ascii="Calibri" w:cs="Calibri" w:eastAsia="Calibri" w:hAnsi="Calibri"/>
          <w:sz w:val="22"/>
          <w:szCs w:val="22"/>
        </w:rPr>
        <w:t xml:space="preserve">Platform Revenue is $9,999 per Engagement Year at every Tier and is allocated to Automatum regardless of Client Status,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pays under its existing subscription plus Automatum's 25% share of Service Revenue.</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that the twelve amounts total the annual share exactly.</w:t>
      </w:r>
    </w:p>
    <w:p>
      <w:pPr>
        <w:spacing w:after="160" w:before="0" w:line="276"/>
        <w:jc w:val="both"/>
      </w:pPr>
      <w:r>
        <w:rPr>
          <w:rFonts w:ascii="Calibri" w:cs="Calibri" w:eastAsia="Calibri" w:hAnsi="Calibri"/>
          <w:sz w:val="22"/>
          <w:szCs w:val="22"/>
        </w:rPr>
        <w:t xml:space="preserve">The amounts in this paragraph are stated on the basis that Client Fees are collected in full. Where they are not, Platform Revenue and each Party's share of Service Revenue accrue only against Collected Client Fees, and the shortfall is borne in the proportions in this paragraph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Client Fees of $60,000 are collected. Platform Revenue of $9,999 accrues to Automatum at $833.25 per month, and Service Revenue of $50,001 is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Client Fees of $60,000 are collected and the Client's existing subscription continues separately and outside the Engagement. Service Revenue of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bears the difference between the $2,499.75 accrued and the $9,999 it commits annually for its Enterprise tier, under Schedule 8 paragraph 2.2.</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5"/>
        <w:gridCol w:w="6785"/>
      </w:tblGrid>
      <w:tr>
        <w:trPr>
          <w:tblHeader/>
        </w:trPr>
        <w:tc>
          <w:tcPr>
            <w:tcW w:type="dxa" w:w="25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67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Any early termination charge collected is split in the proportions in paragraph 1 for that Tier and Client Status.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OBVG forfeits its share of any early termination charge and funds transition assistance under clause 24.1.</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termination by Automatum for convenience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retains the amounts accrued to it,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An upgrade takes effect on the first day of the Engagement Month following the Client's written request. The enhanced service levels apply from the 30th day after the upgrade takes effect.</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A downgrade takes effect only at an Engagement quarter boundary, being the end of each period of three Engagement Months from the start of the Engagement Year, and only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addressed in one of three ways: it is chargeable at the rate card by change order under clause 14.5; the roster is reduced to the supported level within 60 days; or the Engagement is re-scoped as a bespoke tier. Absent agreement within 60 days, OBVG's obligation is limited to the new Tier's supported level and Automatum bears any resulting shortfall in its obligations to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Out-of-scope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7"/>
        <w:gridCol w:w="5173"/>
      </w:tblGrid>
      <w:tr>
        <w:trPr>
          <w:tblHeader/>
        </w:trPr>
        <w:tc>
          <w:tcPr>
            <w:tcW w:type="dxa" w:w="41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1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 Director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performing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 and that they are contractors or partners of Automatum where directly asked. They may not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concerning an individual are made to OBVG's relationship manager under clause 9.5 and not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5.</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and recorded in accordance with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is measured in two legs, the OBVG leg and the Automatum leg.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the OBVG leg runs from receipt of a Selling Authorization request to its submission to Automatum and is 2 Business Days, and the Automatum leg runs from that submission to issuance of the Selling Authorization and is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of Service Credits, clause 8.5 governs the caps on that flow-down and clause 8.7 governs Chronic Failure. A Service Credit is measured against the Registered Client's gross monthly Client Fees. A Service Credit deducted under clause 8.4 is not reversed or reduced by reference to subsequent service level performance.</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license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license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applies to the license term. The PSR license cost is included in the OBVG Service Revenue and is not separately chargeable,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and under the Automatum Brand: a partner portal; an onboarding workflow including AWS registration, tax, banking and service-linked role status tracking; a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the instances to be synchronized, the master system, the direction of synchronization and which party holds each license; reporting supporting the monthly reporting pack under clause 5.1(k); and the append-only event log required by clause 10.5.</w:t>
      </w:r>
    </w:p>
    <w:p>
      <w:pPr>
        <w:spacing w:after="160" w:before="0" w:line="276"/>
        <w:jc w:val="both"/>
      </w:pPr>
      <w:r>
        <w:rPr>
          <w:rFonts w:ascii="Calibri" w:cs="Calibri" w:eastAsia="Calibri" w:hAnsi="Calibri"/>
          <w:sz w:val="22"/>
          <w:szCs w:val="22"/>
        </w:rPr>
        <w:t xml:space="preserve">Where a Registered Client's HubSpot or Salesforce instance is in scope for synchronization, the Client's cooperation is a dependency to which clause 6.7 applies.</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must be given by the PSR vendor in favor of Automatum and provide,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5349"/>
      </w:tblGrid>
      <w:tr>
        <w:trPr>
          <w:tblHeader/>
        </w:trPr>
        <w:tc>
          <w:tcPr>
            <w:tcW w:type="dxa" w:w="401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534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Client) / 75% OBVG, 25% Automatum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warranted?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Automatum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1"/>
        <w:gridCol w:w="669"/>
        <w:gridCol w:w="3438"/>
        <w:gridCol w:w="3152"/>
      </w:tblGrid>
      <w:tr>
        <w:trPr>
          <w:tblHeader/>
        </w:trPr>
        <w:tc>
          <w:tcPr>
            <w:tcW w:type="dxa" w:w="210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343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315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As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a Tier 1 Engagement counts as 1 weighted point, a Tier 2 Engagement as 2 weighted points and a Tier 3 Engagement as 4 weighted points. A Channel Manager may hold at most 12 weighted points and at most 4 Tier 3 Engagements, whichever limit is reached first. Clause 9.7 applies.</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Defaults</w:t>
      </w:r>
    </w:p>
    <w:p>
      <w:pPr>
        <w:pStyle w:val="Heading2"/>
        <w:keepNext/>
        <w:spacing w:after="140" w:before="300"/>
      </w:pPr>
      <w:r>
        <w:rPr>
          <w:rFonts w:ascii="Calibri" w:cs="Calibri" w:eastAsia="Calibri" w:hAnsi="Calibri"/>
          <w:b/>
          <w:bCs/>
          <w:sz w:val="24"/>
          <w:szCs w:val="24"/>
        </w:rPr>
        <w:t xml:space="preserve">1.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91"/>
        <w:gridCol w:w="233"/>
        <w:gridCol w:w="2379"/>
        <w:gridCol w:w="3257"/>
      </w:tblGrid>
      <w:tr>
        <w:trPr>
          <w:tblHeader/>
        </w:trPr>
        <w:tc>
          <w:tcPr>
            <w:tcW w:type="dxa" w:w="34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3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25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resolved</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 party reseller can issue offers against Automatum's listing while Automatum is seller of record</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The earlier of 45 days after the Effective Date and the first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matrix is published and no Engagement Order is executed at an untested Tier, and clause 14.4 applies.</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Assumptions</w:t>
      </w:r>
    </w:p>
    <w:p>
      <w:pPr>
        <w:spacing w:after="160" w:before="0" w:line="276"/>
        <w:jc w:val="both"/>
      </w:pPr>
      <w:r>
        <w:rPr>
          <w:rFonts w:ascii="Calibri" w:cs="Calibri" w:eastAsia="Calibri" w:hAnsi="Calibri"/>
          <w:b/>
          <w:bCs/>
          <w:sz w:val="22"/>
          <w:szCs w:val="22"/>
        </w:rPr>
        <w:t xml:space="preserve">2.1 Direct invoicing.</w:t>
      </w:r>
      <w:r>
        <w:rPr>
          <w:rFonts w:ascii="Calibri" w:cs="Calibri" w:eastAsia="Calibri" w:hAnsi="Calibri"/>
          <w:sz w:val="22"/>
          <w:szCs w:val="22"/>
        </w:rPr>
        <w:t xml:space="preserve"> Schedule 2 assumes that Client Fees are invoiced by Automatum to the Client directly, are not transacted through AWS Marketplace, and are not reduced by any listing fee. If Client Fees are later transacted through AWS Marketplace, the allocation of any listing fee is agreed under clause 11.9.</w:t>
      </w:r>
    </w:p>
    <w:p>
      <w:pPr>
        <w:spacing w:after="160" w:before="0" w:line="276"/>
        <w:jc w:val="both"/>
      </w:pPr>
      <w:r>
        <w:rPr>
          <w:rFonts w:ascii="Calibri" w:cs="Calibri" w:eastAsia="Calibri" w:hAnsi="Calibri"/>
          <w:b/>
          <w:bCs/>
          <w:sz w:val="22"/>
          <w:szCs w:val="22"/>
        </w:rPr>
        <w:t xml:space="preserve">2.2 Enterprise tier commitment.</w:t>
      </w:r>
      <w:r>
        <w:rPr>
          <w:rFonts w:ascii="Calibri" w:cs="Calibri" w:eastAsia="Calibri" w:hAnsi="Calibri"/>
          <w:sz w:val="22"/>
          <w:szCs w:val="22"/>
        </w:rPr>
        <w:t xml:space="preserve"> Automatum's $9,999 is assumed to be committed annually under the Client Agreement. Platform Revenue accrues under clause 11.2, and Automatum bears any shortfall between the Platform Revenue accrued on an Engagement that ends before the end of an Engagement Year and the amount Automatum has committed for that year.</w:t>
      </w:r>
    </w:p>
    <w:p>
      <w:pPr>
        <w:spacing w:after="160" w:before="0" w:line="276"/>
        <w:jc w:val="both"/>
      </w:pPr>
      <w:r>
        <w:rPr>
          <w:rFonts w:ascii="Calibri" w:cs="Calibri" w:eastAsia="Calibri" w:hAnsi="Calibri"/>
          <w:b/>
          <w:bCs/>
          <w:sz w:val="22"/>
          <w:szCs w:val="22"/>
        </w:rPr>
        <w:t xml:space="preserve">2.3 Cost of performance.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2.4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3. Particulars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98"/>
        <w:gridCol w:w="3862"/>
      </w:tblGrid>
      <w:tr>
        <w:trPr>
          <w:tblHeader/>
        </w:trPr>
        <w:tc>
          <w:tcPr>
            <w:tcW w:type="dxa" w:w="54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Particular</w:t>
            </w:r>
          </w:p>
        </w:tc>
        <w:tc>
          <w:tcPr>
            <w:tcW w:type="dxa" w:w="38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Automatum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Automatum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OBVG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OBVG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listing identifier and seller of record entity]</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APN account under which OBVG files partner-sourced opportunities under clause 5.1(j)</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APN account]</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Solution identifier under clause 13.4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solution identifier]</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Limit of each insurance cover required by clause 22</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limit for each cover]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 applying until confirmed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role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license; if none,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2026-09-21T17:50:40.630Z</dcterms:created>
  <dcterms:modified xsi:type="dcterms:W3CDTF">2026-09-21T17:50:40.630Z</dcterms:modified>
</cp:coreProperties>
</file>

<file path=docProps/custom.xml><?xml version="1.0" encoding="utf-8"?>
<Properties xmlns="http://schemas.openxmlformats.org/officeDocument/2006/custom-properties" xmlns:vt="http://schemas.openxmlformats.org/officeDocument/2006/docPropsVTypes"/>
</file>