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0FE0" w14:textId="77777777" w:rsidR="00FD7496" w:rsidRDefault="00FD7496"/>
    <w:p w14:paraId="1717DB25" w14:textId="77777777" w:rsidR="00FD7496"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b/>
          <w:bCs/>
          <w:spacing w:val="-10"/>
          <w:kern w:val="28"/>
          <w:sz w:val="44"/>
          <w:szCs w:val="56"/>
        </w:rPr>
      </w:pPr>
      <w:r>
        <w:rPr>
          <w:rFonts w:ascii="Amazon Ember Cd RC" w:eastAsia="Malgun Gothic" w:hAnsi="Amazon Ember Cd RC" w:cs="Amazon Ember Cd RC"/>
          <w:b/>
          <w:bCs/>
          <w:spacing w:val="-10"/>
          <w:kern w:val="28"/>
          <w:sz w:val="44"/>
          <w:szCs w:val="56"/>
        </w:rPr>
        <w:t xml:space="preserve">AWS Business Outcomes Xcelerator (BOX)</w:t>
      </w:r>
    </w:p>
    <w:p w14:paraId="093EDAF5" w14:textId="77777777" w:rsidR="00FD7496" w:rsidRPr="0083132E"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color w:val="232F3E"/>
          <w:spacing w:val="-10"/>
          <w:kern w:val="28"/>
          <w:sz w:val="96"/>
          <w:szCs w:val="56"/>
        </w:rPr>
      </w:pPr>
      <w:r>
        <w:rPr>
          <w:rFonts w:ascii="Amazon Ember Cd RC" w:eastAsia="Malgun Gothic" w:hAnsi="Amazon Ember Cd RC" w:cs="Amazon Ember Cd RC"/>
          <w:i/>
          <w:color w:val="ED7D31" w:themeColor="accent2"/>
          <w:spacing w:val="-10"/>
          <w:kern w:val="28"/>
          <w:sz w:val="44"/>
          <w:szCs w:val="56"/>
        </w:rPr>
        <w:t xml:space="preserve">Automatum × OBP — Managed AWS Alliances: Multi-Partner Feasibility Study</w:t>
      </w:r>
    </w:p>
    <w:p w14:paraId="235BB25D" w14:textId="77777777" w:rsidR="00FD7496" w:rsidRDefault="00FD7496" w:rsidP="00FD7496">
      <w:pPr>
        <w:pStyle w:val="Header"/>
      </w:pPr>
    </w:p>
    <w:p w14:paraId="0FD65C79" w14:textId="77777777" w:rsidR="00FD7496" w:rsidRDefault="00FD7496" w:rsidP="00FD7496">
      <w:pPr>
        <w:pStyle w:val="Header"/>
      </w:pPr>
    </w:p>
    <w:p w14:paraId="2DA65AC3" w14:textId="77777777" w:rsidR="00FD7496" w:rsidRDefault="00FD7496" w:rsidP="00FD7496">
      <w:pPr>
        <w:pStyle w:val="Header"/>
      </w:pPr>
    </w:p>
    <w:p w14:paraId="61F4A548" w14:textId="77777777" w:rsidR="00FD7496" w:rsidRDefault="00FD7496" w:rsidP="00FD7496">
      <w:pPr>
        <w:pStyle w:val="Header"/>
      </w:pPr>
    </w:p>
    <w:p w14:paraId="0175AF13" w14:textId="77777777" w:rsidR="00FD7496" w:rsidRDefault="00FD7496" w:rsidP="00FD7496">
      <w:pPr>
        <w:pStyle w:val="Header"/>
      </w:pPr>
    </w:p>
    <w:p w14:paraId="1ACA1F4E" w14:textId="77777777" w:rsidR="00FD7496" w:rsidRDefault="00FD7496" w:rsidP="00FD7496">
      <w:pPr>
        <w:pStyle w:val="Header"/>
      </w:pPr>
    </w:p>
    <w:p w14:paraId="571FBE0A" w14:textId="77777777" w:rsidR="00FD7496" w:rsidRDefault="00FD7496" w:rsidP="00FD7496">
      <w:pPr>
        <w:pStyle w:val="Header"/>
      </w:pPr>
    </w:p>
    <w:p w14:paraId="2C038C68" w14:textId="77777777" w:rsidR="00FD7496" w:rsidRDefault="00FD7496" w:rsidP="00FD7496">
      <w:pPr>
        <w:pStyle w:val="Header"/>
      </w:pPr>
    </w:p>
    <w:p w14:paraId="1F2E2AF4" w14:textId="77777777" w:rsidR="00FD7496" w:rsidRPr="00E8095E"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Submission Summary</w:t>
      </w:r>
    </w:p>
    <w:tbl>
      <w:tblPr>
        <w:tblpPr w:leftFromText="180" w:rightFromText="180" w:vertAnchor="text" w:horzAnchor="margin" w:tblpY="7"/>
        <w:tblW w:w="10790" w:type="dxa"/>
        <w:tblCellMar>
          <w:left w:w="0" w:type="dxa"/>
          <w:right w:w="0" w:type="dxa"/>
        </w:tblCellMar>
        <w:tblLook w:val="04A0" w:firstRow="1" w:lastRow="0" w:firstColumn="1" w:lastColumn="0" w:noHBand="0" w:noVBand="1"/>
      </w:tblPr>
      <w:tblGrid>
        <w:gridCol w:w="2280"/>
        <w:gridCol w:w="7610"/>
        <w:gridCol w:w="900"/>
      </w:tblGrid>
      <w:tr w:rsidR="00FD7496" w:rsidRPr="001948BD" w14:paraId="16FE37A1"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9329CD2" w14:textId="5888EEBD"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Study Submitter Name/Title</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5B6F763"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name and title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473D554D" w14:textId="77777777" w:rsidR="00FD7496" w:rsidRPr="001948BD" w:rsidRDefault="00FD7496" w:rsidP="00FD7496">
            <w:pPr>
              <w:rPr>
                <w:rFonts w:ascii="Amazon Ember" w:hAnsi="Amazon Ember" w:cs="Amazon Ember"/>
                <w:color w:val="000000"/>
                <w:sz w:val="20"/>
                <w:szCs w:val="20"/>
              </w:rPr>
            </w:pPr>
          </w:p>
        </w:tc>
      </w:tr>
      <w:tr w:rsidR="00017AC7" w:rsidRPr="001948BD" w14:paraId="10E3222C"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tcPr>
          <w:p w14:paraId="677BE417" w14:textId="0CCB38C8" w:rsidR="00017AC7" w:rsidRPr="0049738A" w:rsidRDefault="00017AC7"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Submitter Phone/Email</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tcPr>
          <w:p w14:paraId="16EA2B23" w14:textId="77777777" w:rsidR="00017AC7" w:rsidRPr="001948BD" w:rsidRDefault="00017AC7"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phone and email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30859CF5" w14:textId="77777777" w:rsidR="00017AC7" w:rsidRPr="001948BD" w:rsidRDefault="00017AC7" w:rsidP="00FD7496">
            <w:pPr>
              <w:rPr>
                <w:rFonts w:ascii="Amazon Ember" w:hAnsi="Amazon Ember" w:cs="Amazon Ember"/>
                <w:color w:val="000000"/>
                <w:sz w:val="20"/>
                <w:szCs w:val="20"/>
              </w:rPr>
            </w:pPr>
          </w:p>
        </w:tc>
      </w:tr>
      <w:tr w:rsidR="00FD7496" w:rsidRPr="001948BD" w14:paraId="27061B9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1A8C7FF"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Date Submitted</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30D576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[Date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1DFEFFA" w14:textId="77777777" w:rsidR="00FD7496" w:rsidRPr="001948BD" w:rsidRDefault="00FD7496" w:rsidP="00FD7496">
            <w:pPr>
              <w:rPr>
                <w:rFonts w:ascii="Amazon Ember" w:hAnsi="Amazon Ember" w:cs="Amazon Ember"/>
                <w:color w:val="000000"/>
                <w:sz w:val="20"/>
                <w:szCs w:val="20"/>
              </w:rPr>
            </w:pPr>
          </w:p>
        </w:tc>
      </w:tr>
      <w:tr w:rsidR="00FD7496" w:rsidRPr="001948BD" w14:paraId="4A758ED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05C6A09"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Lead Partner</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645CA55F"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Automatum — owns the listed software and is seller of record.</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51412000" w14:textId="77777777" w:rsidR="00FD7496" w:rsidRPr="001948BD" w:rsidRDefault="00FD7496" w:rsidP="00FD7496">
            <w:pPr>
              <w:rPr>
                <w:rFonts w:ascii="Amazon Ember" w:hAnsi="Amazon Ember" w:cs="Amazon Ember"/>
                <w:color w:val="000000"/>
                <w:sz w:val="20"/>
                <w:szCs w:val="20"/>
              </w:rPr>
            </w:pPr>
          </w:p>
        </w:tc>
      </w:tr>
      <w:tr w:rsidR="00FD7496" w:rsidRPr="001948BD" w14:paraId="3C8DD78B"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1AF4DA9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Supporting Partners</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E71C312"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Only Best Practices (OBP) — delivers the engagement.</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D554D93" w14:textId="77777777" w:rsidR="00FD7496" w:rsidRPr="001948BD" w:rsidRDefault="00FD7496" w:rsidP="00FD7496">
            <w:pPr>
              <w:rPr>
                <w:rFonts w:ascii="Amazon Ember" w:hAnsi="Amazon Ember" w:cs="Amazon Ember"/>
                <w:color w:val="000000"/>
                <w:sz w:val="20"/>
                <w:szCs w:val="20"/>
              </w:rPr>
            </w:pPr>
          </w:p>
        </w:tc>
      </w:tr>
      <w:tr w:rsidR="00FD7496" w:rsidRPr="001948BD" w14:paraId="6B142407"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2892D2DA"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Customer Use Case</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23AFC97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An ISV with an AWS listing but no one running the AWS partnership needs a named Director of Alliances to drive its AWS programme progression — ISV Accelerate, Competency acceptance, MDF, and its own BOX Program listings.</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9D1A783" w14:textId="77777777" w:rsidR="00FD7496" w:rsidRPr="001948BD" w:rsidRDefault="00FD7496" w:rsidP="00FD7496">
            <w:pPr>
              <w:rPr>
                <w:rFonts w:ascii="Amazon Ember" w:hAnsi="Amazon Ember" w:cs="Amazon Ember"/>
                <w:color w:val="000000"/>
                <w:sz w:val="20"/>
                <w:szCs w:val="20"/>
              </w:rPr>
            </w:pPr>
          </w:p>
        </w:tc>
      </w:tr>
      <w:tr w:rsidR="00FD7496" w:rsidRPr="001948BD" w14:paraId="0472B85A" w14:textId="77777777" w:rsidTr="00D57930">
        <w:trPr>
          <w:trHeight w:val="316"/>
        </w:trPr>
        <w:tc>
          <w:tcPr>
            <w:tcW w:w="2280" w:type="dxa"/>
            <w:tcBorders>
              <w:top w:val="nil"/>
              <w:left w:val="single" w:sz="8" w:space="0" w:color="auto"/>
              <w:bottom w:val="nil"/>
              <w:right w:val="single" w:sz="4" w:space="0" w:color="auto"/>
            </w:tcBorders>
            <w:shd w:val="clear" w:color="auto" w:fill="7F7F7F" w:themeFill="text1" w:themeFillTint="80"/>
            <w:noWrap/>
            <w:tcMar>
              <w:top w:w="15" w:type="dxa"/>
              <w:left w:w="15" w:type="dxa"/>
              <w:bottom w:w="0" w:type="dxa"/>
              <w:right w:w="15" w:type="dxa"/>
            </w:tcMar>
            <w:vAlign w:val="bottom"/>
            <w:hideMark/>
          </w:tcPr>
          <w:p w14:paraId="7EB71FC5"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AWS Services</w:t>
            </w:r>
          </w:p>
        </w:tc>
        <w:tc>
          <w:tcPr>
            <w:tcW w:w="7610" w:type="dxa"/>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14:paraId="524AB2E4"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AWS Partner Central / ACE; AWS Marketplace; ISV Accelerate Program; AWS Competency Programs; AWS Marketing Development Funds (MDF); AWS Business Outcomes Xcelerator.</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16BDA514" w14:textId="77777777" w:rsidR="00FD7496" w:rsidRPr="001948BD" w:rsidRDefault="00FD7496" w:rsidP="00FD7496">
            <w:pPr>
              <w:rPr>
                <w:rFonts w:ascii="Amazon Ember" w:hAnsi="Amazon Ember" w:cs="Amazon Ember"/>
                <w:color w:val="000000"/>
                <w:sz w:val="20"/>
                <w:szCs w:val="20"/>
              </w:rPr>
            </w:pPr>
          </w:p>
        </w:tc>
      </w:tr>
      <w:tr w:rsidR="00FD7496" w:rsidRPr="001948BD" w14:paraId="2754C94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016FE2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Expected Launch Date</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D2022FC"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[Launch date — to confirm against the wave one submission schedule]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64EB0612" w14:textId="77777777" w:rsidR="00FD7496" w:rsidRPr="001948BD" w:rsidRDefault="00FD7496" w:rsidP="00FD7496">
            <w:pPr>
              <w:rPr>
                <w:rFonts w:ascii="Amazon Ember" w:hAnsi="Amazon Ember" w:cs="Amazon Ember"/>
                <w:color w:val="000000"/>
                <w:sz w:val="20"/>
                <w:szCs w:val="20"/>
              </w:rPr>
            </w:pPr>
          </w:p>
        </w:tc>
      </w:tr>
      <w:tr w:rsidR="00763C2F" w:rsidRPr="001948BD" w14:paraId="0F24E966"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7ABAF32C" w14:textId="19F511B4" w:rsidR="00763C2F" w:rsidRDefault="00763C2F"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Is this a Public Sector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10FD046" w14:textId="77777777" w:rsidR="00763C2F" w:rsidRPr="00C143CA" w:rsidRDefault="00763C2F" w:rsidP="00763C2F">
            <w:pPr>
              <w:rPr>
                <w:rFonts w:ascii="Amazon Ember" w:hAnsi="Amazon Ember" w:cs="Amazon Ember"/>
                <w:color w:val="000000"/>
                <w:sz w:val="20"/>
                <w:szCs w:val="20"/>
              </w:rPr>
            </w:pPr>
            <w:r>
              <w:rPr>
                <w:rFonts w:ascii="Amazon Ember" w:hAnsi="Amazon Ember" w:cs="Amazon Ember"/>
                <w:color w:val="000000"/>
                <w:sz w:val="20"/>
                <w:szCs w:val="20"/>
              </w:rPr>
              <w:t xml:space="preserve">No.</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06B5FFD9" w14:textId="77777777" w:rsidR="00763C2F" w:rsidRPr="001948BD" w:rsidRDefault="00763C2F" w:rsidP="00763C2F">
            <w:pPr>
              <w:rPr>
                <w:rFonts w:ascii="Amazon Ember" w:hAnsi="Amazon Ember" w:cs="Amazon Ember"/>
                <w:color w:val="000000"/>
                <w:sz w:val="20"/>
                <w:szCs w:val="20"/>
              </w:rPr>
            </w:pPr>
          </w:p>
        </w:tc>
      </w:tr>
      <w:tr w:rsidR="00017AC7" w:rsidRPr="001948BD" w14:paraId="189D96A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66BA002" w14:textId="4784F6B6" w:rsidR="00017AC7" w:rsidRPr="00BE6098"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Is this a Business Outcomes Solution?</w:t>
            </w:r>
            <w:r>
              <w:rPr>
                <w:rStyle w:val="FootnoteReference"/>
                <w:rFonts w:ascii="Amazon Ember" w:hAnsi="Amazon Ember" w:cs="Amazon Ember"/>
                <w:b/>
                <w:bCs/>
                <w:color w:val="FFFFFF" w:themeColor="background1"/>
                <w:sz w:val="20"/>
                <w:szCs w:val="20"/>
              </w:rPr>
              <w:footnoteReference w:id="1"/>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9E648A9"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Yes. The buyer is a line-of-business executive (CEO or CRO), the outcome is top-line — AWS-sourced pipeline, co-sell revenue and AWS programme funding the ISV would not otherwise capture — and the solution combines components from AWS (Partner Central, ACE, ISV Accelerate, Competency, MDF), from Automatum (the listing and seller-of-record position) and from OBP (the alliance function itself). It replaces a Director of Alliances hire rather than supplying software.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127E76BB" w14:textId="77777777" w:rsidR="00017AC7" w:rsidRPr="001948BD" w:rsidRDefault="00017AC7" w:rsidP="00763C2F">
            <w:pPr>
              <w:rPr>
                <w:rFonts w:ascii="Amazon Ember" w:hAnsi="Amazon Ember" w:cs="Amazon Ember"/>
                <w:color w:val="000000"/>
                <w:sz w:val="20"/>
                <w:szCs w:val="20"/>
              </w:rPr>
            </w:pPr>
          </w:p>
        </w:tc>
      </w:tr>
      <w:tr w:rsidR="00017AC7" w:rsidRPr="001948BD" w14:paraId="4A165A6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6DEFD410" w14:textId="3FAFDB18"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Industry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24A7642C"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Independent software vendors, horizontal across industries. [Priority verticals — to confirm.]</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44BAB74A" w14:textId="77777777" w:rsidR="00017AC7" w:rsidRPr="001948BD" w:rsidRDefault="00017AC7" w:rsidP="00763C2F">
            <w:pPr>
              <w:rPr>
                <w:rFonts w:ascii="Amazon Ember" w:hAnsi="Amazon Ember" w:cs="Amazon Ember"/>
                <w:color w:val="000000"/>
                <w:sz w:val="20"/>
                <w:szCs w:val="20"/>
              </w:rPr>
            </w:pPr>
          </w:p>
        </w:tc>
      </w:tr>
      <w:tr w:rsidR="00017AC7" w:rsidRPr="001948BD" w14:paraId="1B601159"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277597F" w14:textId="6B572CC5"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Customer Persona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47B12BE3"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[CEO or CRO] — to be validated against OBP's closed and in-flight deals.</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72ED79A1" w14:textId="77777777" w:rsidR="00017AC7" w:rsidRPr="001948BD" w:rsidRDefault="00017AC7" w:rsidP="00763C2F">
            <w:pPr>
              <w:rPr>
                <w:rFonts w:ascii="Amazon Ember" w:hAnsi="Amazon Ember" w:cs="Amazon Ember"/>
                <w:color w:val="000000"/>
                <w:sz w:val="20"/>
                <w:szCs w:val="20"/>
              </w:rPr>
            </w:pPr>
          </w:p>
        </w:tc>
      </w:tr>
    </w:tbl>
    <w:p w14:paraId="73F92C3E" w14:textId="77777777" w:rsidR="00D57930" w:rsidRDefault="00D57930" w:rsidP="00FD7496">
      <w:pPr>
        <w:pStyle w:val="Header"/>
      </w:pPr>
    </w:p>
    <w:p w14:paraId="49637BA0"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Partnership Overview </w:t>
      </w:r>
    </w:p>
    <w:tbl>
      <w:tblPr>
        <w:tblStyle w:val="PlainTable1"/>
        <w:tblW w:w="1083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6865"/>
      </w:tblGrid>
      <w:tr w:rsidR="00FD7496" w:rsidRPr="0083132E" w14:paraId="0939088A" w14:textId="77777777" w:rsidTr="00063517">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88A986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1 Name</w:t>
            </w:r>
          </w:p>
        </w:tc>
        <w:tc>
          <w:tcPr>
            <w:tcW w:w="6865" w:type="dxa"/>
            <w:shd w:val="clear" w:color="auto" w:fill="D9D9D9" w:themeFill="background1" w:themeFillShade="D9"/>
          </w:tcPr>
          <w:p w14:paraId="48052A6A" w14:textId="77777777" w:rsidR="00FD7496" w:rsidRPr="00FD7496" w:rsidRDefault="00FD7496" w:rsidP="00072157">
            <w:pPr>
              <w:ind w:left="142"/>
              <w:cnfStyle w:val="100000000000" w:firstRow="1"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Automatum — lead partner. Owns the listed software and is seller of record for all four solutions.</w:t>
            </w:r>
          </w:p>
        </w:tc>
      </w:tr>
      <w:tr w:rsidR="00FD7496" w:rsidRPr="0083132E" w14:paraId="1AE556FE"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6C095C6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D9D9D9" w:themeFill="background1" w:themeFillShade="D9"/>
          </w:tcPr>
          <w:p w14:paraId="3E2B36E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579B9438"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6B470E6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D9D9D9" w:themeFill="background1" w:themeFillShade="D9"/>
          </w:tcPr>
          <w:p w14:paraId="2000BE9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12B00F26"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692167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D9D9D9" w:themeFill="background1" w:themeFillShade="D9"/>
          </w:tcPr>
          <w:p w14:paraId="2D7593B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3B55522A"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741E5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D9D9D9" w:themeFill="background1" w:themeFillShade="D9"/>
          </w:tcPr>
          <w:p w14:paraId="060CFD1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F640F3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533DD8B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D9D9D9" w:themeFill="background1" w:themeFillShade="D9"/>
          </w:tcPr>
          <w:p w14:paraId="06AEEA6D"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35D965F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3CA7C27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D9D9D9" w:themeFill="background1" w:themeFillShade="D9"/>
          </w:tcPr>
          <w:p w14:paraId="0ADC05D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428CAD1D"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702AAD6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D9D9D9" w:themeFill="background1" w:themeFillShade="D9"/>
          </w:tcPr>
          <w:p w14:paraId="304AD9A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517D406E"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29DA1C62"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D9D9D9" w:themeFill="background1" w:themeFillShade="D9"/>
          </w:tcPr>
          <w:p w14:paraId="2F7FB63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0A8050A5"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4D1D928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lastRenderedPageBreak/>
              <w:t>EXISTING Competencies &amp; Service Delivery Programs</w:t>
            </w:r>
          </w:p>
        </w:tc>
        <w:tc>
          <w:tcPr>
            <w:tcW w:w="6865" w:type="dxa"/>
            <w:shd w:val="clear" w:color="auto" w:fill="D9D9D9" w:themeFill="background1" w:themeFillShade="D9"/>
          </w:tcPr>
          <w:p w14:paraId="028A30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83132E" w14:paraId="6BF6CC57"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77A287A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2 Name</w:t>
            </w:r>
          </w:p>
        </w:tc>
        <w:tc>
          <w:tcPr>
            <w:tcW w:w="6865" w:type="dxa"/>
            <w:shd w:val="clear" w:color="auto" w:fill="A6A6A6" w:themeFill="background1" w:themeFillShade="A6"/>
          </w:tcPr>
          <w:p w14:paraId="313C28D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Only Best Practices (OBP) — supporting partner. Delivers the engagement.</w:t>
            </w:r>
          </w:p>
        </w:tc>
      </w:tr>
      <w:tr w:rsidR="00FD7496" w:rsidRPr="0083132E" w14:paraId="42C860C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760A0D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A6A6A6" w:themeFill="background1" w:themeFillShade="A6"/>
          </w:tcPr>
          <w:p w14:paraId="7AB3120C"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6F3871E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1C3492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A6A6A6" w:themeFill="background1" w:themeFillShade="A6"/>
          </w:tcPr>
          <w:p w14:paraId="27E3F4F0"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5BF4D438"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6375A4A5"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A6A6A6" w:themeFill="background1" w:themeFillShade="A6"/>
          </w:tcPr>
          <w:p w14:paraId="333A3AF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16A79F7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A7E54E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A6A6A6" w:themeFill="background1" w:themeFillShade="A6"/>
          </w:tcPr>
          <w:p w14:paraId="3B8C766A"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BA91520"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79C913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A6A6A6" w:themeFill="background1" w:themeFillShade="A6"/>
          </w:tcPr>
          <w:p w14:paraId="0C7B925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5D5C554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209C55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A6A6A6" w:themeFill="background1" w:themeFillShade="A6"/>
          </w:tcPr>
          <w:p w14:paraId="2886FB1D"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042FB1D5"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A41A65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A6A6A6" w:themeFill="background1" w:themeFillShade="A6"/>
          </w:tcPr>
          <w:p w14:paraId="039848DB"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07C9B1C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4C5FBA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A6A6A6" w:themeFill="background1" w:themeFillShade="A6"/>
          </w:tcPr>
          <w:p w14:paraId="2A5486F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27EF4803"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FB509A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EXISTING Competencies &amp; Service Delivery Programs</w:t>
            </w:r>
          </w:p>
        </w:tc>
        <w:tc>
          <w:tcPr>
            <w:tcW w:w="6865" w:type="dxa"/>
            <w:shd w:val="clear" w:color="auto" w:fill="A6A6A6" w:themeFill="background1" w:themeFillShade="A6"/>
          </w:tcPr>
          <w:p w14:paraId="3F407C59"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C275D4" w14:paraId="3639487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21AA613A"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Partner 3 Name (if needed), </w:t>
            </w:r>
            <w:r>
              <w:rPr>
                <w:rFonts w:ascii="Amazon Ember Cd RC" w:hAnsi="Amazon Ember Cd RC" w:cs="Amazon Ember Cd RC"/>
                <w:b w:val="0"/>
                <w:bCs w:val="0"/>
                <w:i/>
                <w:iCs/>
                <w:color w:val="FFFFFF" w:themeColor="background1"/>
                <w:sz w:val="20"/>
                <w:szCs w:val="20"/>
              </w:rPr>
              <w:t>add Partner 4+ below.</w:t>
            </w:r>
          </w:p>
        </w:tc>
        <w:tc>
          <w:tcPr>
            <w:tcW w:w="6865" w:type="dxa"/>
            <w:shd w:val="clear" w:color="auto" w:fill="808080" w:themeFill="background1" w:themeFillShade="80"/>
          </w:tcPr>
          <w:p w14:paraId="2060A226"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CBE40F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E9F0EEC"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SFDC Link</w:t>
            </w:r>
          </w:p>
        </w:tc>
        <w:tc>
          <w:tcPr>
            <w:tcW w:w="6865" w:type="dxa"/>
            <w:shd w:val="clear" w:color="auto" w:fill="808080" w:themeFill="background1" w:themeFillShade="80"/>
          </w:tcPr>
          <w:p w14:paraId="470C44F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Not applicable — two partners.</w:t>
            </w:r>
          </w:p>
        </w:tc>
      </w:tr>
      <w:tr w:rsidR="00FD7496" w:rsidRPr="00C275D4" w14:paraId="5E350946"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9CE6AD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APN SFDC Link</w:t>
            </w:r>
          </w:p>
        </w:tc>
        <w:tc>
          <w:tcPr>
            <w:tcW w:w="6865" w:type="dxa"/>
            <w:shd w:val="clear" w:color="auto" w:fill="808080" w:themeFill="background1" w:themeFillShade="80"/>
          </w:tcPr>
          <w:p w14:paraId="2EE6902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1658394F"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B1ABD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Tier</w:t>
            </w:r>
          </w:p>
        </w:tc>
        <w:tc>
          <w:tcPr>
            <w:tcW w:w="6865" w:type="dxa"/>
            <w:shd w:val="clear" w:color="auto" w:fill="808080" w:themeFill="background1" w:themeFillShade="80"/>
          </w:tcPr>
          <w:p w14:paraId="421AB9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688A96D"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519B5B1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Since</w:t>
            </w:r>
          </w:p>
        </w:tc>
        <w:tc>
          <w:tcPr>
            <w:tcW w:w="6865" w:type="dxa"/>
            <w:shd w:val="clear" w:color="auto" w:fill="808080" w:themeFill="background1" w:themeFillShade="80"/>
          </w:tcPr>
          <w:p w14:paraId="5003A2C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70FF9C4"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D87B1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Business Plan Owners</w:t>
            </w:r>
          </w:p>
        </w:tc>
        <w:tc>
          <w:tcPr>
            <w:tcW w:w="6865" w:type="dxa"/>
            <w:shd w:val="clear" w:color="auto" w:fill="808080" w:themeFill="background1" w:themeFillShade="80"/>
          </w:tcPr>
          <w:p w14:paraId="12F7CA1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6FB4A5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AEDBD41"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Current APN Programs</w:t>
            </w:r>
          </w:p>
        </w:tc>
        <w:tc>
          <w:tcPr>
            <w:tcW w:w="6865" w:type="dxa"/>
            <w:shd w:val="clear" w:color="auto" w:fill="808080" w:themeFill="background1" w:themeFillShade="80"/>
          </w:tcPr>
          <w:p w14:paraId="1D82336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6C7373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115ED2F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Key Focus Verticals of Partner </w:t>
            </w:r>
          </w:p>
        </w:tc>
        <w:tc>
          <w:tcPr>
            <w:tcW w:w="6865" w:type="dxa"/>
            <w:shd w:val="clear" w:color="auto" w:fill="808080" w:themeFill="background1" w:themeFillShade="80"/>
          </w:tcPr>
          <w:p w14:paraId="7DD09A9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b/>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F222432" w14:textId="77777777" w:rsidTr="00063517">
        <w:trPr>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39D56B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EXISTING Competencies &amp; Service Delivery Programs</w:t>
            </w:r>
          </w:p>
        </w:tc>
        <w:tc>
          <w:tcPr>
            <w:tcW w:w="6865" w:type="dxa"/>
            <w:shd w:val="clear" w:color="auto" w:fill="808080" w:themeFill="background1" w:themeFillShade="80"/>
          </w:tcPr>
          <w:p w14:paraId="2615D89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bl>
    <w:p w14:paraId="4BD34CC2" w14:textId="77777777" w:rsidR="00FD7496" w:rsidRDefault="00FD7496" w:rsidP="00FD7496">
      <w:pPr>
        <w:pStyle w:val="Header"/>
      </w:pPr>
    </w:p>
    <w:p w14:paraId="043489F8" w14:textId="6E0756DF" w:rsidR="001948BD"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Overview </w:t>
      </w:r>
    </w:p>
    <w:tbl>
      <w:tblPr>
        <w:tblStyle w:val="TableGrid"/>
        <w:tblW w:w="10885" w:type="dxa"/>
        <w:tblLook w:val="04A0" w:firstRow="1" w:lastRow="0" w:firstColumn="1" w:lastColumn="0" w:noHBand="0" w:noVBand="1"/>
      </w:tblPr>
      <w:tblGrid>
        <w:gridCol w:w="2376"/>
        <w:gridCol w:w="8509"/>
      </w:tblGrid>
      <w:tr w:rsidR="0038739D" w:rsidRPr="001948BD" w14:paraId="650511B7" w14:textId="77777777" w:rsidTr="00FD7496">
        <w:trPr>
          <w:trHeight w:val="854"/>
        </w:trPr>
        <w:tc>
          <w:tcPr>
            <w:tcW w:w="2376" w:type="dxa"/>
            <w:shd w:val="clear" w:color="auto" w:fill="7F7F7F" w:themeFill="text1" w:themeFillTint="80"/>
          </w:tcPr>
          <w:p w14:paraId="6E9D9A40"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Executive summary</w:t>
            </w:r>
          </w:p>
        </w:tc>
        <w:tc>
          <w:tcPr>
            <w:tcW w:w="8509" w:type="dxa"/>
          </w:tcPr>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Automatum and OBP propose Managed AWS Alliances: OBP acts as the ISV's Director of Alliances for twelve months across three strictly additive tiers, priced $2,500 / $5,000 / $7,500 a month.</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The solution puts a named owner on the AWS partnership and drives the ISV's own AWS programme progression. What the partners commit to is the machinery — a named owner with a named backup, partnership reviews held and minuted, quarterly AWS plans, and every ISV Accelerate, Competency, MDF and BOX Program listing application prepared and filed. What they target, and do not guarantee, is what AWS decides: acceptance, MDF availability, listings approved and AWS-sourced leads.</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The solution pairs with the Marketplace Compliance Accelerator, which produces the listing the partnership is built around. Both are proposed for wave one.</w:t>
            </w:r>
          </w:p>
        </w:tc>
      </w:tr>
      <w:tr w:rsidR="0038739D" w:rsidRPr="001948BD" w14:paraId="38DFFBC2" w14:textId="77777777" w:rsidTr="00FD7496">
        <w:trPr>
          <w:trHeight w:val="980"/>
        </w:trPr>
        <w:tc>
          <w:tcPr>
            <w:tcW w:w="2376" w:type="dxa"/>
            <w:shd w:val="clear" w:color="auto" w:fill="7F7F7F" w:themeFill="text1" w:themeFillTint="80"/>
          </w:tcPr>
          <w:p w14:paraId="0E8591D2"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Description of Solution</w:t>
            </w:r>
          </w:p>
        </w:tc>
        <w:tc>
          <w:tcPr>
            <w:tcW w:w="8509" w:type="dxa"/>
          </w:tcPr>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Final delivery is twelve months of a staffed AWS partnership: a named Director of Alliances, a fixed cadence of partnership reviews and quarterly AWS plans, and a filed application trail against every AWS programme the ISV qualifies for.</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Tier outcomes the ISV pursues: at Essentials, ISV Accelerate acceptance (unlocking up to 25k in MDF), one Competency acceptance (up to 50k in MDF), one BOX Program listing (unlocking 35k in AWS credits, 35k in cash and 55 leads via a sponsored AWS marketing campaign), and AWS-facing marketing collateral. At Growth, up to three Competency acceptances and three BOX Program listings, quarterly events, weekly ACE hygiene checks and funding application support. At Professional, all applicable Competency programmes, uncapped BOX Program listings, and introductions to four Account Executives, two Partner Sales Managers and one Segment Leader.</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The BOX Program listings referenced above are the ISV customer's own participation, which this retainer drives them toward. They are separate from the four Automatum × OBP solutions and their milestones. The figures coincide because both run the same AWS programme schedule.</w:t>
            </w:r>
          </w:p>
        </w:tc>
      </w:tr>
      <w:tr w:rsidR="0038739D" w:rsidRPr="001948BD" w14:paraId="1DE84ED8" w14:textId="77777777" w:rsidTr="00FD7496">
        <w:trPr>
          <w:trHeight w:val="971"/>
        </w:trPr>
        <w:tc>
          <w:tcPr>
            <w:tcW w:w="2376" w:type="dxa"/>
            <w:shd w:val="clear" w:color="auto" w:fill="7F7F7F" w:themeFill="text1" w:themeFillTint="80"/>
          </w:tcPr>
          <w:p w14:paraId="03CA0EBB"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Technology considerations</w:t>
            </w:r>
          </w:p>
        </w:tc>
        <w:tc>
          <w:tcPr>
            <w:tcW w:w="8509" w:type="dxa"/>
          </w:tcPr>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Delivery is a staffed alliance function against AWS-operated systems; there is no new software to build.</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AWS supplies Partner Central, ACE, the programme applications and the funding mechanisms. Automatum supplies the listing and the seller-of-record position, and files ACE opportunities from [whose Partner Central instance — to confirm]. OBP supplies the alliance function: the named owner, the reviews, the plans, the application preparation and the reporting.</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No third-party component is licensed into this solution. No component is used that is not listed here. Licence cost recovery sits inside the engagement fee.</w:t>
            </w:r>
          </w:p>
        </w:tc>
      </w:tr>
      <w:tr w:rsidR="0038739D" w:rsidRPr="001948BD" w14:paraId="58BF3C9A" w14:textId="77777777" w:rsidTr="00FD7496">
        <w:trPr>
          <w:trHeight w:val="1070"/>
        </w:trPr>
        <w:tc>
          <w:tcPr>
            <w:tcW w:w="2376" w:type="dxa"/>
            <w:shd w:val="clear" w:color="auto" w:fill="7F7F7F" w:themeFill="text1" w:themeFillTint="80"/>
          </w:tcPr>
          <w:p w14:paraId="74256A31"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 Fit</w:t>
            </w:r>
          </w:p>
        </w:tc>
        <w:tc>
          <w:tcPr>
            <w:tcW w:w="8509" w:type="dxa"/>
          </w:tcPr>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Target market: ISVs with an AWS listing and AWS revenue ambition, but no dedicated alliance staff — typically below the size at which a full-time Director of Alliances is affordable.</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Demand: driven by the gap between what AWS programmes offer an ISV and what an unstaffed ISV captures. Most ISVs qualify for programme benefits they never apply for.</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Competitors: a direct Director of Alliances hire, AWS consulting partners offering alliance advisory, and doing nothing. The differentiator is a named owner at a stated cadence with a filed application trail.</w:t>
            </w:r>
          </w:p>
        </w:tc>
      </w:tr>
      <w:tr w:rsidR="0038739D" w:rsidRPr="001948BD" w14:paraId="70CABF3C" w14:textId="77777777" w:rsidTr="00FD7496">
        <w:trPr>
          <w:trHeight w:val="980"/>
        </w:trPr>
        <w:tc>
          <w:tcPr>
            <w:tcW w:w="2376" w:type="dxa"/>
            <w:shd w:val="clear" w:color="auto" w:fill="7F7F7F" w:themeFill="text1" w:themeFillTint="80"/>
          </w:tcPr>
          <w:p w14:paraId="3B84B969"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Marketing strategy</w:t>
            </w:r>
          </w:p>
        </w:tc>
        <w:tc>
          <w:tcPr>
            <w:tcW w:w="8509" w:type="dxa"/>
          </w:tcPr>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The solution carries its own overview and deck, and lists under its own Solution ID.</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Reach: AWS co-sell through ACE, with five ACE opportunity submissions committed for this solution; joint outbound from both partners; and AWS-facing events run under the retainer itself at Growth and above, which double as a demand channel.</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[Sponsored AWS marketing campaign participation — to confirm.]</w:t>
            </w:r>
          </w:p>
        </w:tc>
      </w:tr>
      <w:tr w:rsidR="0038739D" w:rsidRPr="001948BD" w14:paraId="554D216D" w14:textId="77777777" w:rsidTr="00FD7496">
        <w:trPr>
          <w:trHeight w:val="989"/>
        </w:trPr>
        <w:tc>
          <w:tcPr>
            <w:tcW w:w="2376" w:type="dxa"/>
            <w:shd w:val="clear" w:color="auto" w:fill="7F7F7F" w:themeFill="text1" w:themeFillTint="80"/>
          </w:tcPr>
          <w:p w14:paraId="2D175383"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Organization/Teaming Structure</w:t>
            </w:r>
          </w:p>
        </w:tc>
        <w:tc>
          <w:tcPr>
            <w:tcW w:w="8509" w:type="dxa"/>
          </w:tcPr>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OBP staffs each engagement with a named alliance lead and a named backup, so the cadence holds through absence.</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Named-owner hours per rung, whether a backup is funded at the bottom rung, and how many accounts one owner can hold are to be capacity-tested against the full additive load at the top rung before any figure is published. [Staffing model — to confirm.]</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Hiring is anticipated at [volume threshold — to model].</w:t>
            </w:r>
          </w:p>
        </w:tc>
      </w:tr>
      <w:tr w:rsidR="0038739D" w:rsidRPr="001948BD" w14:paraId="308361FF" w14:textId="77777777" w:rsidTr="00FD7496">
        <w:trPr>
          <w:trHeight w:val="1070"/>
        </w:trPr>
        <w:tc>
          <w:tcPr>
            <w:tcW w:w="2376" w:type="dxa"/>
            <w:shd w:val="clear" w:color="auto" w:fill="7F7F7F" w:themeFill="text1" w:themeFillTint="80"/>
          </w:tcPr>
          <w:p w14:paraId="0B082625"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lastRenderedPageBreak/>
              <w:t>Schedule</w:t>
            </w:r>
          </w:p>
        </w:tc>
        <w:tc>
          <w:tcPr>
            <w:tcW w:w="8509" w:type="dxa"/>
          </w:tcPr>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Wave one of a two-wave submission sequence, submitted alongside the Marketplace Compliance Accelerator.</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Per engagement: a twelve-month term, with the review and planning cadence running from kickoff. [Cadence counts and the action-log service level — to confirm with the staffing model.]</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Constraints: every programme outcome depends on AWS decision timelines outside the partners' control; the twelve-month listing deadline applies from entry [clock basis — to confirm with AWS].</w:t>
            </w:r>
          </w:p>
        </w:tc>
      </w:tr>
      <w:tr w:rsidR="0038739D" w:rsidRPr="001948BD" w14:paraId="7721648C" w14:textId="77777777" w:rsidTr="00063517">
        <w:trPr>
          <w:trHeight w:val="710"/>
        </w:trPr>
        <w:tc>
          <w:tcPr>
            <w:tcW w:w="2376" w:type="dxa"/>
            <w:shd w:val="clear" w:color="auto" w:fill="7F7F7F" w:themeFill="text1" w:themeFillTint="80"/>
          </w:tcPr>
          <w:p w14:paraId="3B5348C2"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Initial Financial projections</w:t>
            </w:r>
          </w:p>
        </w:tc>
        <w:tc>
          <w:tcPr>
            <w:tcW w:w="8509" w:type="dxa"/>
          </w:tcPr>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List price $2,500 / $5,000 / $7,500 a month across three strictly additive tiers, on a twelve-month term. Priced on the seniority of the person on the account.</w:t>
            </w:r>
          </w:p>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Included volumes and overflow rates per rung are being set alongside the staffing model. Revenue split between the partners is under negotiation. [Volume forecast, retainer payment terms and margin — to supply.]</w:t>
            </w:r>
          </w:p>
        </w:tc>
      </w:tr>
      <w:tr w:rsidR="001948BD" w:rsidRPr="001948BD" w14:paraId="4824AFB7" w14:textId="77777777" w:rsidTr="00FD7496">
        <w:trPr>
          <w:trHeight w:val="1061"/>
        </w:trPr>
        <w:tc>
          <w:tcPr>
            <w:tcW w:w="2376" w:type="dxa"/>
            <w:shd w:val="clear" w:color="auto" w:fill="7F7F7F" w:themeFill="text1" w:themeFillTint="80"/>
          </w:tcPr>
          <w:p w14:paraId="571B5235"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Draft Reference Architecture</w:t>
            </w:r>
          </w:p>
        </w:tc>
        <w:tc>
          <w:tcPr>
            <w:tcW w:w="8509" w:type="dxa"/>
          </w:tcPr>
          <w:p w14:paraId="4E2DA521" w14:textId="77777777"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[Insert architecture diagram — to supply.]</w:t>
            </w:r>
          </w:p>
        </w:tc>
      </w:tr>
      <w:tr w:rsidR="001948BD" w:rsidRPr="001948BD" w14:paraId="43FBB842" w14:textId="77777777" w:rsidTr="00FD7496">
        <w:trPr>
          <w:trHeight w:val="989"/>
        </w:trPr>
        <w:tc>
          <w:tcPr>
            <w:tcW w:w="2376" w:type="dxa"/>
            <w:shd w:val="clear" w:color="auto" w:fill="7F7F7F" w:themeFill="text1" w:themeFillTint="80"/>
          </w:tcPr>
          <w:p w14:paraId="4275D952"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First Customer Targets</w:t>
            </w:r>
          </w:p>
        </w:tc>
        <w:tc>
          <w:tcPr>
            <w:tcW w:w="8509" w:type="dxa"/>
          </w:tcPr>
          <w:p w14:paraId="3E1EF076" w14:textId="59D36D4D"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[Initial customers involved in solution design, with ACE opportunity links where entered — to supply.]</w:t>
            </w:r>
          </w:p>
        </w:tc>
      </w:tr>
      <w:tr w:rsidR="0038739D" w:rsidRPr="001948BD" w14:paraId="77CA5DEA" w14:textId="77777777" w:rsidTr="00FD7496">
        <w:trPr>
          <w:trHeight w:val="1016"/>
        </w:trPr>
        <w:tc>
          <w:tcPr>
            <w:tcW w:w="2376" w:type="dxa"/>
            <w:shd w:val="clear" w:color="auto" w:fill="7F7F7F" w:themeFill="text1" w:themeFillTint="80"/>
          </w:tcPr>
          <w:p w14:paraId="2AD88A34" w14:textId="77777777" w:rsidR="0038739D" w:rsidRPr="0049738A" w:rsidRDefault="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Findings and recommendations</w:t>
            </w:r>
          </w:p>
        </w:tc>
        <w:tc>
          <w:tcPr>
            <w:tcW w:w="8509" w:type="dxa"/>
          </w:tcPr>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Both partners recommend proceeding, in wave one alongside the Marketplace Compliance Accelerator.</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Findings: a line-of-business buyer and a top-line outcome, with a commercial model sound at list price. The open risk is delivery capacity rather than demand — every commitment here is a staffing commitment, and none should be published before the capacity model is tested.</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Open before build: the staffing model; the commercial terms between the partners; whose Partner Central instance ACE opportunities are filed into; and confirmation that Automatum is lead partner of record on this Solution ID.</w:t>
            </w:r>
          </w:p>
        </w:tc>
      </w:tr>
    </w:tbl>
    <w:p w14:paraId="2981E141" w14:textId="77777777" w:rsidR="00FD7496" w:rsidRDefault="00FD7496"/>
    <w:p w14:paraId="76AB4F34"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Team Structure</w:t>
      </w:r>
    </w:p>
    <w:tbl>
      <w:tblPr>
        <w:tblStyle w:val="TableGrid"/>
        <w:tblW w:w="10885" w:type="dxa"/>
        <w:tblLook w:val="04A0" w:firstRow="1" w:lastRow="0" w:firstColumn="1" w:lastColumn="0" w:noHBand="0" w:noVBand="1"/>
      </w:tblPr>
      <w:tblGrid>
        <w:gridCol w:w="2376"/>
        <w:gridCol w:w="8509"/>
      </w:tblGrid>
      <w:tr w:rsidR="00FD7496" w:rsidRPr="001948BD" w14:paraId="263E93AD" w14:textId="77777777" w:rsidTr="00FD7496">
        <w:trPr>
          <w:trHeight w:val="1088"/>
        </w:trPr>
        <w:tc>
          <w:tcPr>
            <w:tcW w:w="2376" w:type="dxa"/>
            <w:shd w:val="clear" w:color="auto" w:fill="7F7F7F" w:themeFill="text1" w:themeFillTint="80"/>
          </w:tcPr>
          <w:p w14:paraId="250A80DE"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Which Partner is the first line of support? How does the support model work?</w:t>
            </w:r>
          </w:p>
        </w:tc>
        <w:tc>
          <w:tcPr>
            <w:tcW w:w="8509" w:type="dxa"/>
          </w:tcPr>
          <w:p w14:paraId="1EFE8B9C" w14:textId="1DE8C04C"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OBP is first line of support and owns the customer relationship through a named alliance lead with a named backup. Automatum is first line for the listing, private offers, selling authorizations and the seller-of-record position. Escalation between the partners is [named path — to define].</w:t>
            </w:r>
          </w:p>
        </w:tc>
      </w:tr>
      <w:tr w:rsidR="00FD7496" w:rsidRPr="001948BD" w14:paraId="1FC3FCC4" w14:textId="77777777" w:rsidTr="00072157">
        <w:trPr>
          <w:trHeight w:val="980"/>
        </w:trPr>
        <w:tc>
          <w:tcPr>
            <w:tcW w:w="2376" w:type="dxa"/>
            <w:shd w:val="clear" w:color="auto" w:fill="7F7F7F" w:themeFill="text1" w:themeFillTint="80"/>
          </w:tcPr>
          <w:p w14:paraId="49B40992"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Who generated opportunities for the solution? If multiple, describe how the partners work together?</w:t>
            </w:r>
          </w:p>
        </w:tc>
        <w:tc>
          <w:tcPr>
            <w:tcW w:w="8509" w:type="dxa"/>
          </w:tcPr>
          <w:p w14:paraId="1AE008F2" w14:textId="1EB3D3F5"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Both partners source, and AWS sources through ACE, where five opportunity submissions are committed for this solution. An opportunity belongs to exactly one solution and is registered against this Solution ID; a customer's own ACE submissions follow their opportunity flow and are not an entitlement of five. Where a customer buys more than one of the four, the higher solution's commit column governs any overlap and the same work is not billed twice.</w:t>
            </w:r>
          </w:p>
        </w:tc>
      </w:tr>
      <w:tr w:rsidR="00FD7496" w:rsidRPr="001948BD" w14:paraId="57CD8809" w14:textId="77777777" w:rsidTr="00072157">
        <w:trPr>
          <w:trHeight w:val="971"/>
        </w:trPr>
        <w:tc>
          <w:tcPr>
            <w:tcW w:w="2376" w:type="dxa"/>
            <w:shd w:val="clear" w:color="auto" w:fill="7F7F7F" w:themeFill="text1" w:themeFillTint="80"/>
          </w:tcPr>
          <w:p w14:paraId="3CC49E4E" w14:textId="77777777" w:rsidR="00FD7496" w:rsidRPr="0049738A" w:rsidRDefault="00063517" w:rsidP="00072157">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Have the partners determine if they can work together commercially?</w:t>
            </w:r>
          </w:p>
        </w:tc>
        <w:tc>
          <w:tcPr>
            <w:tcW w:w="8509" w:type="dxa"/>
          </w:tcPr>
          <w:p w14:paraId="5DF9EB87" w14:textId="6EA47EB0"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Not yet. The revenue split on each line, the flow of funds and payment trigger, Marketplace fee treatment and milestone apportionment are on the agenda for a partner call and remain unsettled. One dependency is specific to this solution and to Managed Marketplace Operations: OBP cannot publish a response-time commitment until Automatum agrees matching internal turnarounds behind it, covering offer issue, listing configuration submission, selling authorizations and the Partner Central instance ACE is filed into.</w:t>
            </w:r>
          </w:p>
        </w:tc>
      </w:tr>
    </w:tbl>
    <w:p w14:paraId="02E8B3FD" w14:textId="77777777" w:rsidR="00FD7496" w:rsidRDefault="00FD7496"/>
    <w:p w14:paraId="344DA7E9" w14:textId="77777777" w:rsidR="00B05421" w:rsidRDefault="00185E70">
      <w:r>
        <w:rPr>
          <w:noProof/>
        </w:rPr>
        <mc:AlternateContent>
          <mc:Choice Requires="wps">
            <w:drawing>
              <wp:anchor distT="0" distB="0" distL="114300" distR="114300" simplePos="0" relativeHeight="251660288" behindDoc="0" locked="0" layoutInCell="1" allowOverlap="1" wp14:anchorId="325FFC4A" wp14:editId="5E3EA4D5">
                <wp:simplePos x="0" y="0"/>
                <wp:positionH relativeFrom="column">
                  <wp:posOffset>306271</wp:posOffset>
                </wp:positionH>
                <wp:positionV relativeFrom="paragraph">
                  <wp:posOffset>133383</wp:posOffset>
                </wp:positionV>
                <wp:extent cx="6261100" cy="535940"/>
                <wp:effectExtent l="12700" t="12700" r="12700" b="10160"/>
                <wp:wrapNone/>
                <wp:docPr id="1458579357" name="Text Box 2"/>
                <wp:cNvGraphicFramePr/>
                <a:graphic xmlns:a="http://schemas.openxmlformats.org/drawingml/2006/main">
                  <a:graphicData uri="http://schemas.microsoft.com/office/word/2010/wordprocessingShape">
                    <wps:wsp>
                      <wps:cNvSpPr txBox="1"/>
                      <wps:spPr>
                        <a:xfrm>
                          <a:off x="0" y="0"/>
                          <a:ext cx="6261100" cy="535940"/>
                        </a:xfrm>
                        <a:prstGeom prst="rect">
                          <a:avLst/>
                        </a:prstGeom>
                        <a:solidFill>
                          <a:schemeClr val="lt1"/>
                        </a:solidFill>
                        <a:ln w="28575">
                          <a:solidFill>
                            <a:schemeClr val="accent2"/>
                          </a:solidFill>
                        </a:ln>
                      </wps:spPr>
                      <wps:txbx>
                        <w:txbxContent>
                          <w:p w14:paraId="23C69FE6" w14:textId="4C044182" w:rsidR="00185E70" w:rsidRDefault="00185E70">
                            <w:r>
                              <w:rPr>
                                <w:b/>
                                <w:bCs/>
                              </w:rPr>
                              <w:t>Next steps:</w:t>
                            </w:r>
                            <w:r>
                              <w:t xml:space="preserve"> Submit Feasibility study </w:t>
                            </w:r>
                            <w:hyperlink r:id="rId6" w:history="1">
                              <w:r>
                                <w:rPr>
                                  <w:rStyle w:val="Hyperlink"/>
                                </w:rPr>
                                <w:t>here</w:t>
                              </w:r>
                            </w:hyperlink>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FFC4A" id="Text Box 2" o:spid="_x0000_s1027" type="#_x0000_t202" style="position:absolute;margin-left:24.1pt;margin-top:10.5pt;width:493pt;height:4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LKTZOwIAAIgEAAAOAAAAZHJzL2Uyb0RvYy54bWysVEtv2zAMvg/YfxB0Xxx7SdoacYosRYYB RVsgLXpWZDkxIIuaxMTOfv0o5d3tNOwikyLFx/eRHt93jWZb5XwNpuBpr8+ZMhLK2qwK/vY6/3LL mUdhSqHBqILvlOf3k8+fxq3NVQZr0KVyjIIYn7e24GtEmyeJl2vVCN8DqwwZK3CNQFLdKimdaCl6 o5Os3x8lLbjSOpDKe7p92Bv5JMavKiXxuaq8QqYLTrVhPF08l+FMJmORr5yw61oeyhD/UEUjakNJ T6EeBAq2cfUfoZpaOvBQYU9Ck0BV1VLFHqibtP+hm8VaWBV7IXC8PcHk/19Y+bRd2BfHsPsGHREY AGmtzz1dhn66yjXhS5UyshOEuxNsqkMm6XKUjdK0TyZJtuHX4d0g4pqcX1vn8buChgWh4I5oiWiJ 7aNHykiuR5eQzIOuy3mtdVTCKKiZdmwriESNsUZ6ceWlDWsLnt0Ob4Yx8pUxTtM5hJBSGcxCq9dh SNOGLs8ABAm7Zcfq8gKcJZQ7wszBfpy8lfOaGnsUHl+Eo/khLGgn8JmOSgMVBgeJszW4X3+7D/5E K1k5a2keC+5/boRTnOkfhgi/SwcEK8OoDIY3GSnu0rK8tJhNMwNCK6XtszKKwR/1UawcNO+0OtOQ lUzCSMpdcDyKM9xvCa2eVNNpdKKRtQIfzcLKEDqwE2h77d6FswdukabiCY6TK/IPFO99w0sD0w1C VUf+A857VA/w07hHdg6rGfbpUo9e5x/I5DcAAAD//wMAUEsDBBQABgAIAAAAIQAMl2jv3wAAAA8B AAAPAAAAZHJzL2Rvd25yZXYueG1sTE9NT8MwDL0j8R8iI3FjaUtBo2s6wSbEhcsGB45eY9qKJqmS bMv+Pe4JLpbtZ7+Pep3MKE7kw+CsgnyRgSDbOj3YTsHnx+vdEkSIaDWOzpKCCwVYN9dXNVbane2O TvvYCSaxoUIFfYxTJWVoezIYFm4iy9i38wYjj76T2uOZyc0oiyx7lAYHywo9TrTpqf3ZH42CXSrk pmvf3v2UdD4+YdLl14tStzdpu+LyvAIRKcW/D5gzsH9o2NjBHa0OYlRQLgu+VFDknGvGs/uSN4e5 eyhBNrX8n6P5BQAA//8DAFBLAQItABQABgAIAAAAIQC2gziS/gAAAOEBAAATAAAAAAAAAAAAAAAA AAAAAABbQ29udGVudF9UeXBlc10ueG1sUEsBAi0AFAAGAAgAAAAhADj9If/WAAAAlAEAAAsAAAAA AAAAAAAAAAAALwEAAF9yZWxzLy5yZWxzUEsBAi0AFAAGAAgAAAAhAEEspNk7AgAAiAQAAA4AAAAA AAAAAAAAAAAALgIAAGRycy9lMm9Eb2MueG1sUEsBAi0AFAAGAAgAAAAhAAyXaO/fAAAADwEAAA8A AAAAAAAAAAAAAAAAlQQAAGRycy9kb3ducmV2LnhtbFBLBQYAAAAABAAEAPMAAAChBQAAAAA= " fillcolor="white [3201]" strokecolor="#ed7d31 [3205]" strokeweight="2.25pt">
                <v:textbox>
                  <w:txbxContent>
                    <w:p w14:paraId="23C69FE6" w14:textId="4C044182" w:rsidR="00185E70" w:rsidRDefault="00185E70">
                      <w:r>
                        <w:rPr>
                          <w:b/>
                          <w:bCs/>
                        </w:rPr>
                        <w:t>Next steps:</w:t>
                      </w:r>
                      <w:r>
                        <w:t xml:space="preserve"> Submit Feasibility study </w:t>
                      </w:r>
                      <w:hyperlink r:id="rId7" w:history="1">
                        <w:r>
                          <w:rPr>
                            <w:rStyle w:val="Hyperlink"/>
                          </w:rPr>
                          <w:t>here</w:t>
                        </w:r>
                      </w:hyperlink>
                      <w:r>
                        <w:t>.</w:t>
                      </w:r>
                    </w:p>
                  </w:txbxContent>
                </v:textbox>
              </v:shape>
            </w:pict>
          </mc:Fallback>
        </mc:AlternateContent>
      </w:r>
    </w:p>
    <w:p w14:paraId="222F5590" w14:textId="77777777" w:rsidR="00185E70" w:rsidRDefault="00185E70"/>
    <w:p w14:paraId="0CF23D79" w14:textId="77777777" w:rsidR="00FD7496" w:rsidRDefault="00FD7496"/>
    <w:p w14:paraId="442CFB5C" w14:textId="77777777" w:rsidR="00FD7496" w:rsidRDefault="00FD7496"/>
    <w:p w14:paraId="6B8A4F82" w14:textId="2A9C9FC6" w:rsidR="00185E70" w:rsidRPr="00017AC7" w:rsidRDefault="00FD7496" w:rsidP="00017AC7">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AWS Feedback</w:t>
      </w:r>
    </w:p>
    <w:tbl>
      <w:tblPr>
        <w:tblStyle w:val="TableGrid"/>
        <w:tblW w:w="0" w:type="auto"/>
        <w:tblLook w:val="04A0" w:firstRow="1" w:lastRow="0" w:firstColumn="1" w:lastColumn="0" w:noHBand="0" w:noVBand="1"/>
      </w:tblPr>
      <w:tblGrid>
        <w:gridCol w:w="2352"/>
        <w:gridCol w:w="8263"/>
      </w:tblGrid>
      <w:tr w:rsidR="00B05421" w:rsidRPr="001948BD" w14:paraId="0BF12E7A" w14:textId="77777777" w:rsidTr="00BE160B">
        <w:trPr>
          <w:trHeight w:val="1016"/>
        </w:trPr>
        <w:tc>
          <w:tcPr>
            <w:tcW w:w="2352" w:type="dxa"/>
            <w:shd w:val="clear" w:color="auto" w:fill="7F7F7F" w:themeFill="text1" w:themeFillTint="80"/>
          </w:tcPr>
          <w:p w14:paraId="34191375" w14:textId="77777777" w:rsidR="00B05421" w:rsidRPr="0049738A" w:rsidRDefault="00B05421" w:rsidP="00BE160B">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Additional input and recommendations from AWS teams</w:t>
            </w:r>
          </w:p>
        </w:tc>
        <w:tc>
          <w:tcPr>
            <w:tcW w:w="8263" w:type="dxa"/>
          </w:tcPr>
          <w:p w14:paraId="410C3244" w14:textId="77777777" w:rsidR="00B05421" w:rsidRPr="001948BD" w:rsidRDefault="00B05421" w:rsidP="00BE160B">
            <w:pPr>
              <w:rPr>
                <w:rFonts w:ascii="Amazon Ember" w:hAnsi="Amazon Ember" w:cs="Amazon Ember"/>
                <w:sz w:val="20"/>
                <w:szCs w:val="20"/>
              </w:rPr>
            </w:pPr>
            <w:r>
              <w:rPr>
                <w:rFonts w:ascii="Amazon Ember" w:hAnsi="Amazon Ember" w:cs="Amazon Ember"/>
                <w:sz w:val="20"/>
                <w:szCs w:val="20"/>
              </w:rPr>
              <w:t>[leave blank in submission. AWS feedback to be included with any feedback or additional steps required.]</w:t>
            </w:r>
          </w:p>
        </w:tc>
      </w:tr>
    </w:tbl>
    <w:p w14:paraId="3E90B4A5" w14:textId="77777777" w:rsidR="0038739D" w:rsidRDefault="00B05421">
      <w:r>
        <w:t xml:space="preserve"> </w:t>
      </w:r>
    </w:p>
    <w:sectPr w:rsidR="0038739D" w:rsidSect="008B22EC">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6DF6" w14:textId="77777777" w:rsidR="00BE1DFB" w:rsidRDefault="00BE1DFB" w:rsidP="0038739D">
      <w:r>
        <w:separator/>
      </w:r>
    </w:p>
  </w:endnote>
  <w:endnote w:type="continuationSeparator" w:id="0">
    <w:p w14:paraId="5B95F960" w14:textId="77777777" w:rsidR="00BE1DFB" w:rsidRDefault="00BE1DFB" w:rsidP="0038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mazon Ember">
    <w:altName w:val="Calibri"/>
    <w:panose1 w:val="020B0603020204020204"/>
    <w:charset w:val="00"/>
    <w:family w:val="swiss"/>
    <w:pitch w:val="variable"/>
    <w:sig w:usb0="A00002EF" w:usb1="5000205B" w:usb2="00000028" w:usb3="00000000" w:csb0="0000009F" w:csb1="00000000"/>
  </w:font>
  <w:font w:name="Amazon Ember Cd RC">
    <w:altName w:val="Calibri"/>
    <w:panose1 w:val="020B0606020204020204"/>
    <w:charset w:val="00"/>
    <w:family w:val="swiss"/>
    <w:pitch w:val="variable"/>
    <w:sig w:usb0="A00002EF" w:usb1="5000205B" w:usb2="00000028"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791B" w14:textId="77777777" w:rsidR="00F57974" w:rsidRDefault="00F57974" w:rsidP="00F57974">
    <w:pPr>
      <w:rPr>
        <w:sz w:val="12"/>
        <w:szCs w:val="20"/>
      </w:rPr>
    </w:pPr>
    <w:r w:rsidRPr="00BF649E">
      <w:rPr>
        <w:sz w:val="12"/>
        <w:szCs w:val="20"/>
      </w:rPr>
      <w:t xml:space="preserve">This document is for discussion purposes only and does not create a legally binding or enforceable agreement or offer and is not enforceable against either party.  </w:t>
    </w:r>
  </w:p>
  <w:p w14:paraId="5D41C36B" w14:textId="3EF2C9D2" w:rsidR="00017AC7" w:rsidRPr="00BF649E" w:rsidRDefault="00F57974" w:rsidP="00F57974">
    <w:pPr>
      <w:rPr>
        <w:sz w:val="12"/>
        <w:szCs w:val="20"/>
      </w:rPr>
    </w:pPr>
    <w:r w:rsidRPr="00BF649E">
      <w:rPr>
        <w:sz w:val="12"/>
        <w:szCs w:val="20"/>
      </w:rPr>
      <w:t>Neither party will be liable to the other party as a result of the failure to fulfill any obligation described in this document or the failure to enter into any agreement contemplated by this document.</w:t>
    </w:r>
    <w:r>
      <w:rPr>
        <w:sz w:val="12"/>
        <w:szCs w:val="20"/>
      </w:rPr>
      <w:t xml:space="preserve"> </w:t>
    </w:r>
  </w:p>
  <w:p w14:paraId="6297F234" w14:textId="77777777" w:rsidR="00FD7496" w:rsidRPr="00F57974" w:rsidRDefault="00FD7496" w:rsidP="00F57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843BA" w14:textId="77777777" w:rsidR="00BE1DFB" w:rsidRDefault="00BE1DFB" w:rsidP="0038739D">
      <w:r>
        <w:separator/>
      </w:r>
    </w:p>
  </w:footnote>
  <w:footnote w:type="continuationSeparator" w:id="0">
    <w:p w14:paraId="78273883" w14:textId="77777777" w:rsidR="00BE1DFB" w:rsidRDefault="00BE1DFB" w:rsidP="0038739D">
      <w:r>
        <w:continuationSeparator/>
      </w:r>
    </w:p>
  </w:footnote>
  <w:footnote w:id="1">
    <w:p w14:paraId="52F986DF" w14:textId="57C77675" w:rsidR="00017AC7" w:rsidRDefault="00017AC7">
      <w:pPr>
        <w:pStyle w:val="FootnoteText"/>
      </w:pPr>
      <w:r>
        <w:rPr>
          <w:rStyle w:val="FootnoteReference"/>
        </w:rPr>
        <w:footnoteRef/>
      </w:r>
      <w:r>
        <w:t xml:space="preserve"> We define a Business Outcome Solution as one that impacts a customer’s top or bottom line.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3E9E" w14:textId="77777777" w:rsidR="00FD7496" w:rsidRDefault="00FD7496" w:rsidP="00FD7496">
    <w:pPr>
      <w:pStyle w:val="Header"/>
    </w:pPr>
    <w:r>
      <w:rPr>
        <w:noProof/>
      </w:rPr>
      <w:drawing>
        <wp:inline distT="0" distB="0" distL="0" distR="0" wp14:anchorId="1C9BD6BA" wp14:editId="2189685A">
          <wp:extent cx="1259205" cy="346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801" cy="36113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9D"/>
    <w:rsid w:val="00006AD1"/>
    <w:rsid w:val="00017AC7"/>
    <w:rsid w:val="00063517"/>
    <w:rsid w:val="001037AF"/>
    <w:rsid w:val="001171A7"/>
    <w:rsid w:val="00185E70"/>
    <w:rsid w:val="001948BD"/>
    <w:rsid w:val="00215679"/>
    <w:rsid w:val="00225A19"/>
    <w:rsid w:val="002716E0"/>
    <w:rsid w:val="00332E46"/>
    <w:rsid w:val="00383A61"/>
    <w:rsid w:val="0038739D"/>
    <w:rsid w:val="003C70D3"/>
    <w:rsid w:val="0049738A"/>
    <w:rsid w:val="00734B78"/>
    <w:rsid w:val="00763C2F"/>
    <w:rsid w:val="007B28D7"/>
    <w:rsid w:val="007D3D68"/>
    <w:rsid w:val="0080693C"/>
    <w:rsid w:val="00842AF3"/>
    <w:rsid w:val="008B22EC"/>
    <w:rsid w:val="008B534F"/>
    <w:rsid w:val="009D6156"/>
    <w:rsid w:val="00A67D36"/>
    <w:rsid w:val="00A80CED"/>
    <w:rsid w:val="00B01A02"/>
    <w:rsid w:val="00B05421"/>
    <w:rsid w:val="00B23364"/>
    <w:rsid w:val="00BB6DD0"/>
    <w:rsid w:val="00BE1DFB"/>
    <w:rsid w:val="00C9005A"/>
    <w:rsid w:val="00C96604"/>
    <w:rsid w:val="00D57930"/>
    <w:rsid w:val="00E912BC"/>
    <w:rsid w:val="00F25FCD"/>
    <w:rsid w:val="00F57974"/>
    <w:rsid w:val="00FB4B50"/>
    <w:rsid w:val="00FD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9A7A"/>
  <w15:chartTrackingRefBased/>
  <w15:docId w15:val="{7136473D-7A29-954C-801E-38DE2D59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nhideWhenUsed/>
    <w:qFormat/>
    <w:rsid w:val="00FD7496"/>
    <w:pPr>
      <w:keepNext/>
      <w:keepLines/>
      <w:spacing w:before="200"/>
      <w:outlineLvl w:val="2"/>
    </w:pPr>
    <w:rPr>
      <w:rFonts w:asciiTheme="majorHAnsi" w:eastAsiaTheme="majorEastAsia" w:hAnsiTheme="majorHAnsi" w:cstheme="majorBidi"/>
      <w:b/>
      <w:bCs/>
      <w:color w:val="4472C4" w:themeColor="accent1"/>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D6156"/>
    <w:rPr>
      <w:rFonts w:ascii="Amazon Ember" w:hAnsi="Amazon Ember"/>
      <w:sz w:val="20"/>
    </w:rPr>
  </w:style>
  <w:style w:type="paragraph" w:styleId="Header">
    <w:name w:val="header"/>
    <w:basedOn w:val="Normal"/>
    <w:link w:val="HeaderChar"/>
    <w:uiPriority w:val="99"/>
    <w:unhideWhenUsed/>
    <w:rsid w:val="0038739D"/>
    <w:pPr>
      <w:tabs>
        <w:tab w:val="center" w:pos="4680"/>
        <w:tab w:val="right" w:pos="9360"/>
      </w:tabs>
    </w:pPr>
  </w:style>
  <w:style w:type="character" w:customStyle="1" w:styleId="HeaderChar">
    <w:name w:val="Header Char"/>
    <w:basedOn w:val="DefaultParagraphFont"/>
    <w:link w:val="Header"/>
    <w:uiPriority w:val="99"/>
    <w:rsid w:val="0038739D"/>
  </w:style>
  <w:style w:type="paragraph" w:styleId="Footer">
    <w:name w:val="footer"/>
    <w:basedOn w:val="Normal"/>
    <w:link w:val="FooterChar"/>
    <w:uiPriority w:val="99"/>
    <w:unhideWhenUsed/>
    <w:rsid w:val="0038739D"/>
    <w:pPr>
      <w:tabs>
        <w:tab w:val="center" w:pos="4680"/>
        <w:tab w:val="right" w:pos="9360"/>
      </w:tabs>
    </w:pPr>
  </w:style>
  <w:style w:type="character" w:customStyle="1" w:styleId="FooterChar">
    <w:name w:val="Footer Char"/>
    <w:basedOn w:val="DefaultParagraphFont"/>
    <w:link w:val="Footer"/>
    <w:uiPriority w:val="99"/>
    <w:rsid w:val="0038739D"/>
  </w:style>
  <w:style w:type="paragraph" w:styleId="Title">
    <w:name w:val="Title"/>
    <w:basedOn w:val="Normal"/>
    <w:next w:val="Normal"/>
    <w:link w:val="TitleChar"/>
    <w:uiPriority w:val="10"/>
    <w:qFormat/>
    <w:rsid w:val="0038739D"/>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739D"/>
    <w:rPr>
      <w:rFonts w:asciiTheme="majorHAnsi" w:eastAsiaTheme="majorEastAsia" w:hAnsiTheme="majorHAnsi" w:cstheme="majorBidi"/>
      <w:color w:val="000000" w:themeColor="text1"/>
      <w:sz w:val="56"/>
      <w:szCs w:val="56"/>
    </w:rPr>
  </w:style>
  <w:style w:type="table" w:styleId="TableGrid">
    <w:name w:val="Table Grid"/>
    <w:basedOn w:val="TableNormal"/>
    <w:uiPriority w:val="39"/>
    <w:rsid w:val="00387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5421"/>
    <w:rPr>
      <w:color w:val="0563C1" w:themeColor="hyperlink"/>
      <w:u w:val="single"/>
    </w:rPr>
  </w:style>
  <w:style w:type="character" w:styleId="UnresolvedMention">
    <w:name w:val="Unresolved Mention"/>
    <w:basedOn w:val="DefaultParagraphFont"/>
    <w:uiPriority w:val="99"/>
    <w:semiHidden/>
    <w:unhideWhenUsed/>
    <w:rsid w:val="00B05421"/>
    <w:rPr>
      <w:color w:val="605E5C"/>
      <w:shd w:val="clear" w:color="auto" w:fill="E1DFDD"/>
    </w:rPr>
  </w:style>
  <w:style w:type="character" w:customStyle="1" w:styleId="Heading3Char">
    <w:name w:val="Heading 3 Char"/>
    <w:basedOn w:val="DefaultParagraphFont"/>
    <w:link w:val="Heading3"/>
    <w:rsid w:val="00FD7496"/>
    <w:rPr>
      <w:rFonts w:asciiTheme="majorHAnsi" w:eastAsiaTheme="majorEastAsia" w:hAnsiTheme="majorHAnsi" w:cstheme="majorBidi"/>
      <w:b/>
      <w:bCs/>
      <w:color w:val="4472C4" w:themeColor="accent1"/>
      <w:lang w:eastAsia="ko-KR"/>
    </w:rPr>
  </w:style>
  <w:style w:type="table" w:styleId="PlainTable1">
    <w:name w:val="Plain Table 1"/>
    <w:basedOn w:val="TableNormal"/>
    <w:uiPriority w:val="41"/>
    <w:rsid w:val="00FD7496"/>
    <w:rPr>
      <w:sz w:val="22"/>
      <w:szCs w:val="22"/>
      <w:lang w:eastAsia="ko-K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017AC7"/>
    <w:rPr>
      <w:sz w:val="20"/>
      <w:szCs w:val="20"/>
    </w:rPr>
  </w:style>
  <w:style w:type="character" w:customStyle="1" w:styleId="FootnoteTextChar">
    <w:name w:val="Footnote Text Char"/>
    <w:basedOn w:val="DefaultParagraphFont"/>
    <w:link w:val="FootnoteText"/>
    <w:uiPriority w:val="99"/>
    <w:semiHidden/>
    <w:rsid w:val="00017AC7"/>
    <w:rPr>
      <w:sz w:val="20"/>
      <w:szCs w:val="20"/>
    </w:rPr>
  </w:style>
  <w:style w:type="character" w:styleId="FootnoteReference">
    <w:name w:val="footnote reference"/>
    <w:basedOn w:val="DefaultParagraphFont"/>
    <w:uiPriority w:val="99"/>
    <w:semiHidden/>
    <w:unhideWhenUsed/>
    <w:rsid w:val="00017A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pp.smartsheet.com/b/form/1748cde1854e4b6d9d496553324cd7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martsheet.com/b/form/1748cde1854e4b6d9d496553324cd712"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Lowe</dc:creator>
  <cp:keywords/>
  <dc:description/>
  <cp:lastModifiedBy>Lowe, Amanda</cp:lastModifiedBy>
  <cp:revision>4</cp:revision>
  <dcterms:created xsi:type="dcterms:W3CDTF">2024-06-19T23:53:00Z</dcterms:created>
  <dcterms:modified xsi:type="dcterms:W3CDTF">2025-05-07T20:19:00Z</dcterms:modified>
</cp:coreProperties>
</file>