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Calibri" w:cs="Calibri" w:eastAsia="Calibri" w:hAnsi="Calibri"/>
          <w:b/>
          <w:bCs/>
          <w:sz w:val="32"/>
          <w:szCs w:val="32"/>
        </w:rPr>
        <w:t xml:space="preserve">White Label Delivery Agreement</w:t>
      </w:r>
    </w:p>
    <w:p>
      <w:pPr>
        <w:spacing w:after="160" w:before="0" w:line="276"/>
        <w:jc w:val="both"/>
      </w:pPr>
      <w:r>
        <w:rPr>
          <w:rFonts w:ascii="Calibri" w:cs="Calibri" w:eastAsia="Calibri" w:hAnsi="Calibri"/>
          <w:b/>
          <w:bCs/>
          <w:sz w:val="22"/>
          <w:szCs w:val="22"/>
        </w:rPr>
        <w:t xml:space="preserve">Managed Partner Development</w:t>
      </w:r>
    </w:p>
    <w:p>
      <w:pPr>
        <w:spacing w:after="160" w:before="0" w:line="276"/>
        <w:jc w:val="both"/>
      </w:pPr>
      <w:r>
        <w:rPr>
          <w:rFonts w:ascii="Calibri" w:cs="Calibri" w:eastAsia="Calibri" w:hAnsi="Calibri"/>
          <w:sz w:val="22"/>
          <w:szCs w:val="22"/>
        </w:rPr>
        <w:t xml:space="preserve">This Agreement is made as of [to supply: Effective Date] between </w:t>
      </w:r>
      <w:r>
        <w:rPr>
          <w:rFonts w:ascii="Calibri" w:cs="Calibri" w:eastAsia="Calibri" w:hAnsi="Calibri"/>
          <w:b/>
          <w:bCs/>
          <w:sz w:val="22"/>
          <w:szCs w:val="22"/>
        </w:rPr>
        <w:t xml:space="preserve">[to supply: Automatum legal entity name]</w:t>
      </w:r>
      <w:r>
        <w:rPr>
          <w:rFonts w:ascii="Calibri" w:cs="Calibri" w:eastAsia="Calibri" w:hAnsi="Calibri"/>
          <w:sz w:val="22"/>
          <w:szCs w:val="22"/>
        </w:rPr>
        <w:t xml:space="preserve">, a [to supply: entity type] organized under the laws of [to supply: state of organization], company number [to supply: registration number], of [to supply: Automatum principal address] ("</w:t>
      </w:r>
      <w:r>
        <w:rPr>
          <w:rFonts w:ascii="Calibri" w:cs="Calibri" w:eastAsia="Calibri" w:hAnsi="Calibri"/>
          <w:b/>
          <w:bCs/>
          <w:sz w:val="22"/>
          <w:szCs w:val="22"/>
        </w:rPr>
        <w:t xml:space="preserve">Automatum</w:t>
      </w:r>
      <w:r>
        <w:rPr>
          <w:rFonts w:ascii="Calibri" w:cs="Calibri" w:eastAsia="Calibri" w:hAnsi="Calibri"/>
          <w:sz w:val="22"/>
          <w:szCs w:val="22"/>
        </w:rPr>
        <w:t xml:space="preserve">"), and </w:t>
      </w:r>
      <w:r>
        <w:rPr>
          <w:rFonts w:ascii="Calibri" w:cs="Calibri" w:eastAsia="Calibri" w:hAnsi="Calibri"/>
          <w:b/>
          <w:bCs/>
          <w:sz w:val="22"/>
          <w:szCs w:val="22"/>
        </w:rPr>
        <w:t xml:space="preserve">[to supply: Only Best Venture Group legal entity name]</w:t>
      </w:r>
      <w:r>
        <w:rPr>
          <w:rFonts w:ascii="Calibri" w:cs="Calibri" w:eastAsia="Calibri" w:hAnsi="Calibri"/>
          <w:sz w:val="22"/>
          <w:szCs w:val="22"/>
        </w:rPr>
        <w:t xml:space="preserve">, a [to supply: entity type] organized under the laws of [to supply: state of organization], company number [to supply: registration number], of [to supply: OBVG principal address] ("</w:t>
      </w:r>
      <w:r>
        <w:rPr>
          <w:rFonts w:ascii="Calibri" w:cs="Calibri" w:eastAsia="Calibri" w:hAnsi="Calibri"/>
          <w:b/>
          <w:bCs/>
          <w:sz w:val="22"/>
          <w:szCs w:val="22"/>
        </w:rPr>
        <w:t xml:space="preserve">OBVG</w:t>
      </w:r>
      <w:r>
        <w:rPr>
          <w:rFonts w:ascii="Calibri" w:cs="Calibri" w:eastAsia="Calibri" w:hAnsi="Calibri"/>
          <w:sz w:val="22"/>
          <w:szCs w:val="22"/>
        </w:rPr>
        <w:t xml:space="preserve">"). Each is a "Party".</w:t>
      </w:r>
    </w:p>
    <w:p>
      <w:pPr>
        <w:pStyle w:val="Heading2"/>
        <w:keepNext/>
        <w:spacing w:after="140" w:before="300"/>
      </w:pPr>
      <w:r>
        <w:rPr>
          <w:rFonts w:ascii="Calibri" w:cs="Calibri" w:eastAsia="Calibri" w:hAnsi="Calibri"/>
          <w:b/>
          <w:bCs/>
          <w:sz w:val="24"/>
          <w:szCs w:val="24"/>
        </w:rPr>
        <w:t xml:space="preserve">Recitals</w:t>
      </w:r>
    </w:p>
    <w:p>
      <w:pPr>
        <w:spacing w:after="160" w:before="0" w:line="276"/>
        <w:jc w:val="both"/>
      </w:pPr>
      <w:r>
        <w:rPr>
          <w:rFonts w:ascii="Calibri" w:cs="Calibri" w:eastAsia="Calibri" w:hAnsi="Calibri"/>
          <w:b/>
          <w:bCs/>
          <w:sz w:val="22"/>
          <w:szCs w:val="22"/>
        </w:rPr>
        <w:t xml:space="preserve">A.</w:t>
      </w:r>
      <w:r>
        <w:rPr>
          <w:rFonts w:ascii="Calibri" w:cs="Calibri" w:eastAsia="Calibri" w:hAnsi="Calibri"/>
          <w:sz w:val="22"/>
          <w:szCs w:val="22"/>
        </w:rPr>
        <w:t xml:space="preserve"> Automatum publishes software through AWS Marketplace, holds the seller of record position for its listing, and issues private offers and Selling Authorizations under it. OBVG operates a managed channel function and licenses and operates a partner system of record.</w:t>
      </w:r>
    </w:p>
    <w:p>
      <w:pPr>
        <w:spacing w:after="160" w:before="0" w:line="276"/>
        <w:jc w:val="both"/>
      </w:pPr>
      <w:r>
        <w:rPr>
          <w:rFonts w:ascii="Calibri" w:cs="Calibri" w:eastAsia="Calibri" w:hAnsi="Calibri"/>
          <w:b/>
          <w:bCs/>
          <w:sz w:val="22"/>
          <w:szCs w:val="22"/>
        </w:rPr>
        <w:t xml:space="preserve">B.</w:t>
      </w:r>
      <w:r>
        <w:rPr>
          <w:rFonts w:ascii="Calibri" w:cs="Calibri" w:eastAsia="Calibri" w:hAnsi="Calibri"/>
          <w:sz w:val="22"/>
          <w:szCs w:val="22"/>
        </w:rPr>
        <w:t xml:space="preserve"> Managed Partner Development is a service developed and owned by OBVG and comprised in the OBVG Materials, under which a software vendor with a live AWS Marketplace listing engages a single provider to build and run its reseller channel on AWS. Automatum offers it to its clients under the Automatum Brand on the terms of this Agreement.</w:t>
      </w:r>
    </w:p>
    <w:p>
      <w:pPr>
        <w:spacing w:after="160" w:before="0" w:line="276"/>
        <w:jc w:val="both"/>
      </w:pPr>
      <w:r>
        <w:rPr>
          <w:rFonts w:ascii="Calibri" w:cs="Calibri" w:eastAsia="Calibri" w:hAnsi="Calibri"/>
          <w:b/>
          <w:bCs/>
          <w:sz w:val="22"/>
          <w:szCs w:val="22"/>
        </w:rPr>
        <w:t xml:space="preserve">C.</w:t>
      </w:r>
      <w:r>
        <w:rPr>
          <w:rFonts w:ascii="Calibri" w:cs="Calibri" w:eastAsia="Calibri" w:hAnsi="Calibri"/>
          <w:sz w:val="22"/>
          <w:szCs w:val="22"/>
        </w:rPr>
        <w:t xml:space="preserve"> Automatum contracts with, invoices and is the sole counterparty to each client. OBVG performs the channel function as Automatum's subcontractor under Automatum's brand and is not presented to the client as a separate provider.</w:t>
      </w:r>
    </w:p>
    <w:p>
      <w:pPr>
        <w:spacing w:after="160" w:before="0" w:line="276"/>
        <w:jc w:val="both"/>
      </w:pPr>
      <w:r>
        <w:rPr>
          <w:rFonts w:ascii="Calibri" w:cs="Calibri" w:eastAsia="Calibri" w:hAnsi="Calibri"/>
          <w:sz w:val="22"/>
          <w:szCs w:val="22"/>
        </w:rPr>
        <w:t xml:space="preserve">The Parties agree as follows.</w:t>
      </w:r>
    </w:p>
    <w:p>
      <w:pPr>
        <w:pStyle w:val="Heading2"/>
        <w:keepNext/>
        <w:spacing w:after="140" w:before="300"/>
      </w:pPr>
      <w:r>
        <w:rPr>
          <w:rFonts w:ascii="Calibri" w:cs="Calibri" w:eastAsia="Calibri" w:hAnsi="Calibri"/>
          <w:b/>
          <w:bCs/>
          <w:sz w:val="24"/>
          <w:szCs w:val="24"/>
        </w:rPr>
        <w:t xml:space="preserve">1. Definitions and Interpretation</w:t>
      </w:r>
    </w:p>
    <w:p>
      <w:pPr>
        <w:pStyle w:val="Heading3"/>
        <w:keepNext/>
        <w:spacing w:after="120" w:before="220"/>
      </w:pPr>
      <w:r>
        <w:rPr>
          <w:rFonts w:ascii="Calibri" w:cs="Calibri" w:eastAsia="Calibri" w:hAnsi="Calibri"/>
          <w:b/>
          <w:bCs/>
          <w:sz w:val="22"/>
          <w:szCs w:val="22"/>
        </w:rPr>
        <w:t xml:space="preserve">1.1 Definitions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Active Partner</w:t>
      </w:r>
      <w:r>
        <w:rPr>
          <w:rFonts w:ascii="Calibri" w:cs="Calibri" w:eastAsia="Calibri" w:hAnsi="Calibri"/>
          <w:sz w:val="22"/>
          <w:szCs w:val="22"/>
        </w:rPr>
        <w:t xml:space="preserve">" means a Recruited Partner that has completed at least one Transaction in the preceding 365 days, regardless of its onboarding status.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ACE</w:t>
      </w:r>
      <w:r>
        <w:rPr>
          <w:rFonts w:ascii="Calibri" w:cs="Calibri" w:eastAsia="Calibri" w:hAnsi="Calibri"/>
          <w:sz w:val="22"/>
          <w:szCs w:val="22"/>
        </w:rPr>
        <w:t xml:space="preserve">" means the AWS Partner Central APN Customer Engagements program. "</w:t>
      </w:r>
      <w:r>
        <w:rPr>
          <w:rFonts w:ascii="Calibri" w:cs="Calibri" w:eastAsia="Calibri" w:hAnsi="Calibri"/>
          <w:b/>
          <w:bCs/>
          <w:sz w:val="22"/>
          <w:szCs w:val="22"/>
        </w:rPr>
        <w:t xml:space="preserve">AWS</w:t>
      </w:r>
      <w:r>
        <w:rPr>
          <w:rFonts w:ascii="Calibri" w:cs="Calibri" w:eastAsia="Calibri" w:hAnsi="Calibri"/>
          <w:sz w:val="22"/>
          <w:szCs w:val="22"/>
        </w:rPr>
        <w:t xml:space="preserve">" means Amazon Web Services, Inc. and its affiliates. "</w:t>
      </w:r>
      <w:r>
        <w:rPr>
          <w:rFonts w:ascii="Calibri" w:cs="Calibri" w:eastAsia="Calibri" w:hAnsi="Calibri"/>
          <w:b/>
          <w:bCs/>
          <w:sz w:val="22"/>
          <w:szCs w:val="22"/>
        </w:rPr>
        <w:t xml:space="preserve">AWS Marketplace</w:t>
      </w:r>
      <w:r>
        <w:rPr>
          <w:rFonts w:ascii="Calibri" w:cs="Calibri" w:eastAsia="Calibri" w:hAnsi="Calibri"/>
          <w:sz w:val="22"/>
          <w:szCs w:val="22"/>
        </w:rPr>
        <w:t xml:space="preserve">" means the AWS Marketplace digital catalog. "</w:t>
      </w:r>
      <w:r>
        <w:rPr>
          <w:rFonts w:ascii="Calibri" w:cs="Calibri" w:eastAsia="Calibri" w:hAnsi="Calibri"/>
          <w:b/>
          <w:bCs/>
          <w:sz w:val="22"/>
          <w:szCs w:val="22"/>
        </w:rPr>
        <w:t xml:space="preserve">CPPO</w:t>
      </w:r>
      <w:r>
        <w:rPr>
          <w:rFonts w:ascii="Calibri" w:cs="Calibri" w:eastAsia="Calibri" w:hAnsi="Calibri"/>
          <w:sz w:val="22"/>
          <w:szCs w:val="22"/>
        </w:rPr>
        <w:t xml:space="preserve">" means a Channel Partner Private Offer made through AWS Marketplace.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AWS Program Terms</w:t>
      </w:r>
      <w:r>
        <w:rPr>
          <w:rFonts w:ascii="Calibri" w:cs="Calibri" w:eastAsia="Calibri" w:hAnsi="Calibri"/>
          <w:sz w:val="22"/>
          <w:szCs w:val="22"/>
        </w:rPr>
        <w:t xml:space="preserve">" means the AWS Partner Network terms, the AWS Marketplace Seller Terms and Conditions, the AWS Customer Agreement, the ACE program terms, and any other AWS terms, policies or program rules applicable to a Party, as amended by AWS from time to time.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Automatum Brand</w:t>
      </w:r>
      <w:r>
        <w:rPr>
          <w:rFonts w:ascii="Calibri" w:cs="Calibri" w:eastAsia="Calibri" w:hAnsi="Calibri"/>
          <w:sz w:val="22"/>
          <w:szCs w:val="22"/>
        </w:rPr>
        <w:t xml:space="preserve">" means the Automatum names, logos, marks, domains, email domains, templates and other brand assets Automatum makes available to OBVG.</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Business Day</w:t>
      </w:r>
      <w:r>
        <w:rPr>
          <w:rFonts w:ascii="Calibri" w:cs="Calibri" w:eastAsia="Calibri" w:hAnsi="Calibri"/>
          <w:sz w:val="22"/>
          <w:szCs w:val="22"/>
        </w:rPr>
        <w:t xml:space="preserve">" means a day other than a Saturday, Sunday or public holiday in the State of New York. "</w:t>
      </w:r>
      <w:r>
        <w:rPr>
          <w:rFonts w:ascii="Calibri" w:cs="Calibri" w:eastAsia="Calibri" w:hAnsi="Calibri"/>
          <w:b/>
          <w:bCs/>
          <w:sz w:val="22"/>
          <w:szCs w:val="22"/>
        </w:rPr>
        <w:t xml:space="preserve">Business Hours</w:t>
      </w:r>
      <w:r>
        <w:rPr>
          <w:rFonts w:ascii="Calibri" w:cs="Calibri" w:eastAsia="Calibri" w:hAnsi="Calibri"/>
          <w:sz w:val="22"/>
          <w:szCs w:val="22"/>
        </w:rPr>
        <w:t xml:space="preserve">" means 9:00 a.m. to 6:00 p.m. Eastern Time on a Business Day, unless an Engagement Order states a different coverage window.</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Channel Review</w:t>
      </w:r>
      <w:r>
        <w:rPr>
          <w:rFonts w:ascii="Calibri" w:cs="Calibri" w:eastAsia="Calibri" w:hAnsi="Calibri"/>
          <w:sz w:val="22"/>
          <w:szCs w:val="22"/>
        </w:rPr>
        <w:t xml:space="preserve">" means a governance session with a Registered Client covering partner pipeline, partner performance, the headline metric and remediation, at the Tier cadence in Schedule 1.</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w:t>
      </w:r>
      <w:r>
        <w:rPr>
          <w:rFonts w:ascii="Calibri" w:cs="Calibri" w:eastAsia="Calibri" w:hAnsi="Calibri"/>
          <w:sz w:val="22"/>
          <w:szCs w:val="22"/>
        </w:rPr>
        <w:t xml:space="preserve">" means a software vendor that contracts with Automatum for the Solution. "</w:t>
      </w:r>
      <w:r>
        <w:rPr>
          <w:rFonts w:ascii="Calibri" w:cs="Calibri" w:eastAsia="Calibri" w:hAnsi="Calibri"/>
          <w:b/>
          <w:bCs/>
          <w:sz w:val="22"/>
          <w:szCs w:val="22"/>
        </w:rPr>
        <w:t xml:space="preserve">Client Agreement</w:t>
      </w:r>
      <w:r>
        <w:rPr>
          <w:rFonts w:ascii="Calibri" w:cs="Calibri" w:eastAsia="Calibri" w:hAnsi="Calibri"/>
          <w:sz w:val="22"/>
          <w:szCs w:val="22"/>
        </w:rPr>
        <w:t xml:space="preserve">" means the agreement under which Automatum supplies the Solution to a Client. "</w:t>
      </w:r>
      <w:r>
        <w:rPr>
          <w:rFonts w:ascii="Calibri" w:cs="Calibri" w:eastAsia="Calibri" w:hAnsi="Calibri"/>
          <w:b/>
          <w:bCs/>
          <w:sz w:val="22"/>
          <w:szCs w:val="22"/>
        </w:rPr>
        <w:t xml:space="preserve">Client Fees</w:t>
      </w:r>
      <w:r>
        <w:rPr>
          <w:rFonts w:ascii="Calibri" w:cs="Calibri" w:eastAsia="Calibri" w:hAnsi="Calibri"/>
          <w:sz w:val="22"/>
          <w:szCs w:val="22"/>
        </w:rPr>
        <w:t xml:space="preserve">" means the fees payable by a Registered Client under its Client Agreement for the Solution, excluding Taxes and fees for services outside the Solution.</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 Data</w:t>
      </w:r>
      <w:r>
        <w:rPr>
          <w:rFonts w:ascii="Calibri" w:cs="Calibri" w:eastAsia="Calibri" w:hAnsi="Calibri"/>
          <w:sz w:val="22"/>
          <w:szCs w:val="22"/>
        </w:rPr>
        <w:t xml:space="preserve">" means all data relating to a Registered Client, its Recruited Partners and its channel created, collected, processed or stored in delivering the Services, including partner records, deal registrations, commission records, offer records and reporting outputs.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 Registry</w:t>
      </w:r>
      <w:r>
        <w:rPr>
          <w:rFonts w:ascii="Calibri" w:cs="Calibri" w:eastAsia="Calibri" w:hAnsi="Calibri"/>
          <w:sz w:val="22"/>
          <w:szCs w:val="22"/>
        </w:rPr>
        <w:t xml:space="preserve">" means the register of Registered Clients maintained under clause 4.</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 Source</w:t>
      </w:r>
      <w:r>
        <w:rPr>
          <w:rFonts w:ascii="Calibri" w:cs="Calibri" w:eastAsia="Calibri" w:hAnsi="Calibri"/>
          <w:sz w:val="22"/>
          <w:szCs w:val="22"/>
        </w:rPr>
        <w:t xml:space="preserve">" means whether a Registered Client is OBVG-Sourced, Automatum-Sourced, or Joint or ACE-Sourced, determined under clause 4.7. "</w:t>
      </w:r>
      <w:r>
        <w:rPr>
          <w:rFonts w:ascii="Calibri" w:cs="Calibri" w:eastAsia="Calibri" w:hAnsi="Calibri"/>
          <w:b/>
          <w:bCs/>
          <w:sz w:val="22"/>
          <w:szCs w:val="22"/>
        </w:rPr>
        <w:t xml:space="preserve">Client Status</w:t>
      </w:r>
      <w:r>
        <w:rPr>
          <w:rFonts w:ascii="Calibri" w:cs="Calibri" w:eastAsia="Calibri" w:hAnsi="Calibri"/>
          <w:sz w:val="22"/>
          <w:szCs w:val="22"/>
        </w:rPr>
        <w:t xml:space="preserve">" means whether a Registered Client is a Net New Client or an Existing Automatum Client, determined under clause 4.7.</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Collected Client Fees</w:t>
      </w:r>
      <w:r>
        <w:rPr>
          <w:rFonts w:ascii="Calibri" w:cs="Calibri" w:eastAsia="Calibri" w:hAnsi="Calibri"/>
          <w:sz w:val="22"/>
          <w:szCs w:val="22"/>
        </w:rPr>
        <w:t xml:space="preserve">" means, for a Registered Client and an Engagement Month, the Client Fees actually received by Automatum for that month, net of Taxes, payment processing fees, and any AWS Marketplace listing fee to the extent clause 11.9 applies.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Deal Desk Request</w:t>
      </w:r>
      <w:r>
        <w:rPr>
          <w:rFonts w:ascii="Calibri" w:cs="Calibri" w:eastAsia="Calibri" w:hAnsi="Calibri"/>
          <w:sz w:val="22"/>
          <w:szCs w:val="22"/>
        </w:rPr>
        <w:t xml:space="preserve">" means a request by or for a Recruited Partner or Registered Client to structure, price, register or progress a CPPO, submitted through the intake channel in the form specified in the Engagement Order.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Engagement</w:t>
      </w:r>
      <w:r>
        <w:rPr>
          <w:rFonts w:ascii="Calibri" w:cs="Calibri" w:eastAsia="Calibri" w:hAnsi="Calibri"/>
          <w:sz w:val="22"/>
          <w:szCs w:val="22"/>
        </w:rPr>
        <w:t xml:space="preserve">" means supply of the Solution to one Registered Client under one Engagement Order. "</w:t>
      </w:r>
      <w:r>
        <w:rPr>
          <w:rFonts w:ascii="Calibri" w:cs="Calibri" w:eastAsia="Calibri" w:hAnsi="Calibri"/>
          <w:b/>
          <w:bCs/>
          <w:sz w:val="22"/>
          <w:szCs w:val="22"/>
        </w:rPr>
        <w:t xml:space="preserve">Engagement Month</w:t>
      </w:r>
      <w:r>
        <w:rPr>
          <w:rFonts w:ascii="Calibri" w:cs="Calibri" w:eastAsia="Calibri" w:hAnsi="Calibri"/>
          <w:sz w:val="22"/>
          <w:szCs w:val="22"/>
        </w:rPr>
        <w:t xml:space="preserve">" means a calendar month, or part of one, during which an Engagement is in effect. "</w:t>
      </w:r>
      <w:r>
        <w:rPr>
          <w:rFonts w:ascii="Calibri" w:cs="Calibri" w:eastAsia="Calibri" w:hAnsi="Calibri"/>
          <w:b/>
          <w:bCs/>
          <w:sz w:val="22"/>
          <w:szCs w:val="22"/>
        </w:rPr>
        <w:t xml:space="preserve">Engagement Year</w:t>
      </w:r>
      <w:r>
        <w:rPr>
          <w:rFonts w:ascii="Calibri" w:cs="Calibri" w:eastAsia="Calibri" w:hAnsi="Calibri"/>
          <w:sz w:val="22"/>
          <w:szCs w:val="22"/>
        </w:rPr>
        <w:t xml:space="preserve">" means each 12 consecutive months from the start date in an Engagement Order.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Engagement Order</w:t>
      </w:r>
      <w:r>
        <w:rPr>
          <w:rFonts w:ascii="Calibri" w:cs="Calibri" w:eastAsia="Calibri" w:hAnsi="Calibri"/>
          <w:sz w:val="22"/>
          <w:szCs w:val="22"/>
        </w:rPr>
        <w:t xml:space="preserve">" means an order in the form of Schedule 6, executed by both Parties, adding a Client to the Client Registry and engaging OBVG for that Client.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Existing Automatum Client</w:t>
      </w:r>
      <w:r>
        <w:rPr>
          <w:rFonts w:ascii="Calibri" w:cs="Calibri" w:eastAsia="Calibri" w:hAnsi="Calibri"/>
          <w:sz w:val="22"/>
          <w:szCs w:val="22"/>
        </w:rPr>
        <w:t xml:space="preserve">" means a Client that, at the date its Engagement Order is executed or in the 90 days before, subscribes or subscribed to Automatum's Enterprise tier or any other paid Automatum subscription. "</w:t>
      </w:r>
      <w:r>
        <w:rPr>
          <w:rFonts w:ascii="Calibri" w:cs="Calibri" w:eastAsia="Calibri" w:hAnsi="Calibri"/>
          <w:b/>
          <w:bCs/>
          <w:sz w:val="22"/>
          <w:szCs w:val="22"/>
        </w:rPr>
        <w:t xml:space="preserve">Net New Client</w:t>
      </w:r>
      <w:r>
        <w:rPr>
          <w:rFonts w:ascii="Calibri" w:cs="Calibri" w:eastAsia="Calibri" w:hAnsi="Calibri"/>
          <w:sz w:val="22"/>
          <w:szCs w:val="22"/>
        </w:rPr>
        <w:t xml:space="preserve">" means any other Client.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Issuance-Ready Package</w:t>
      </w:r>
      <w:r>
        <w:rPr>
          <w:rFonts w:ascii="Calibri" w:cs="Calibri" w:eastAsia="Calibri" w:hAnsi="Calibri"/>
          <w:sz w:val="22"/>
          <w:szCs w:val="22"/>
        </w:rPr>
        <w:t xml:space="preserve">" means a completed CPPO structure, pricing, partner and end customer details and supporting documentation, in the form stated in the Engagement Order, delivered by OBVG so that Automatum can issue the offer.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Losses</w:t>
      </w:r>
      <w:r>
        <w:rPr>
          <w:rFonts w:ascii="Calibri" w:cs="Calibri" w:eastAsia="Calibri" w:hAnsi="Calibri"/>
          <w:sz w:val="22"/>
          <w:szCs w:val="22"/>
        </w:rPr>
        <w:t xml:space="preserve">" means losses, liabilities, damages, judgments, settlements, fines, penalties, costs and expenses, including reasonable attorneys' fees.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OBVG Materials</w:t>
      </w:r>
      <w:r>
        <w:rPr>
          <w:rFonts w:ascii="Calibri" w:cs="Calibri" w:eastAsia="Calibri" w:hAnsi="Calibri"/>
          <w:sz w:val="22"/>
          <w:szCs w:val="22"/>
        </w:rPr>
        <w:t xml:space="preserve">" means the methodologies, playbooks, templates, partner agreement and margin schedule forms, curricula, enablement content, processes and know-how OBVG owns or licenses and uses in delivering the Services, together with the PSR.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OBVG Service Revenue</w:t>
      </w:r>
      <w:r>
        <w:rPr>
          <w:rFonts w:ascii="Calibri" w:cs="Calibri" w:eastAsia="Calibri" w:hAnsi="Calibri"/>
          <w:sz w:val="22"/>
          <w:szCs w:val="22"/>
        </w:rPr>
        <w:t xml:space="preserve">" means OBVG's share of Service Revenue under clause 11.1.</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Offer-Issuing Partner</w:t>
      </w:r>
      <w:r>
        <w:rPr>
          <w:rFonts w:ascii="Calibri" w:cs="Calibri" w:eastAsia="Calibri" w:hAnsi="Calibri"/>
          <w:sz w:val="22"/>
          <w:szCs w:val="22"/>
        </w:rPr>
        <w:t xml:space="preserve">" means, for a Registered Client and a measurement period, a Recruited Partner that issued at least one CPPO against that Client's listing in that period, as recorded in the PSR and determined under Schedule 4.</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Partner System of Record</w:t>
      </w:r>
      <w:r>
        <w:rPr>
          <w:rFonts w:ascii="Calibri" w:cs="Calibri" w:eastAsia="Calibri" w:hAnsi="Calibri"/>
          <w:sz w:val="22"/>
          <w:szCs w:val="22"/>
        </w:rPr>
        <w:t xml:space="preserve">" or "</w:t>
      </w:r>
      <w:r>
        <w:rPr>
          <w:rFonts w:ascii="Calibri" w:cs="Calibri" w:eastAsia="Calibri" w:hAnsi="Calibri"/>
          <w:b/>
          <w:bCs/>
          <w:sz w:val="22"/>
          <w:szCs w:val="22"/>
        </w:rPr>
        <w:t xml:space="preserve">PSR</w:t>
      </w:r>
      <w:r>
        <w:rPr>
          <w:rFonts w:ascii="Calibri" w:cs="Calibri" w:eastAsia="Calibri" w:hAnsi="Calibri"/>
          <w:sz w:val="22"/>
          <w:szCs w:val="22"/>
        </w:rPr>
        <w:t xml:space="preserve">" means the partner management platform licensed and operated by OBVG under clause 10 and Schedule 5, providing partner portal, onboarding, deal registration and commission tracking, with HubSpot and Salesforce synchronization.</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Personal Data</w:t>
      </w:r>
      <w:r>
        <w:rPr>
          <w:rFonts w:ascii="Calibri" w:cs="Calibri" w:eastAsia="Calibri" w:hAnsi="Calibri"/>
          <w:sz w:val="22"/>
          <w:szCs w:val="22"/>
        </w:rPr>
        <w:t xml:space="preserve">" means information relating to an identified or identifiable natural person subject to any Privacy Law. "</w:t>
      </w:r>
      <w:r>
        <w:rPr>
          <w:rFonts w:ascii="Calibri" w:cs="Calibri" w:eastAsia="Calibri" w:hAnsi="Calibri"/>
          <w:b/>
          <w:bCs/>
          <w:sz w:val="22"/>
          <w:szCs w:val="22"/>
        </w:rPr>
        <w:t xml:space="preserve">Privacy Law</w:t>
      </w:r>
      <w:r>
        <w:rPr>
          <w:rFonts w:ascii="Calibri" w:cs="Calibri" w:eastAsia="Calibri" w:hAnsi="Calibri"/>
          <w:sz w:val="22"/>
          <w:szCs w:val="22"/>
        </w:rPr>
        <w:t xml:space="preserve">" means any law on the protection of Personal Data applicable to a Party's performance.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Platform Revenue</w:t>
      </w:r>
      <w:r>
        <w:rPr>
          <w:rFonts w:ascii="Calibri" w:cs="Calibri" w:eastAsia="Calibri" w:hAnsi="Calibri"/>
          <w:sz w:val="22"/>
          <w:szCs w:val="22"/>
        </w:rPr>
        <w:t xml:space="preserve">" means $9,999 per Engagement Year.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Recruited Partner</w:t>
      </w:r>
      <w:r>
        <w:rPr>
          <w:rFonts w:ascii="Calibri" w:cs="Calibri" w:eastAsia="Calibri" w:hAnsi="Calibri"/>
          <w:sz w:val="22"/>
          <w:szCs w:val="22"/>
        </w:rPr>
        <w:t xml:space="preserve">" means a reseller, systems integrator, managed service provider or other channel partner OBVG recruits, contracts or onboards for a Registered Client under this Agreement.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Registered Client</w:t>
      </w:r>
      <w:r>
        <w:rPr>
          <w:rFonts w:ascii="Calibri" w:cs="Calibri" w:eastAsia="Calibri" w:hAnsi="Calibri"/>
          <w:sz w:val="22"/>
          <w:szCs w:val="22"/>
        </w:rPr>
        <w:t xml:space="preserve">" means a Client entered in the Client Registry under clause 4 for which an Engagement Order is or has been in effect.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Selling Authorization</w:t>
      </w:r>
      <w:r>
        <w:rPr>
          <w:rFonts w:ascii="Calibri" w:cs="Calibri" w:eastAsia="Calibri" w:hAnsi="Calibri"/>
          <w:sz w:val="22"/>
          <w:szCs w:val="22"/>
        </w:rPr>
        <w:t xml:space="preserve">" means an authorization issued by Automatum through AWS Marketplace permitting a Recruited Partner to resell a listed product.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Service Credit</w:t>
      </w:r>
      <w:r>
        <w:rPr>
          <w:rFonts w:ascii="Calibri" w:cs="Calibri" w:eastAsia="Calibri" w:hAnsi="Calibri"/>
          <w:sz w:val="22"/>
          <w:szCs w:val="22"/>
        </w:rPr>
        <w:t xml:space="preserve">" means a credit Automatum must give a Registered Client under its Client Agreement for failing to meet a service level.</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Service Revenue</w:t>
      </w:r>
      <w:r>
        <w:rPr>
          <w:rFonts w:ascii="Calibri" w:cs="Calibri" w:eastAsia="Calibri" w:hAnsi="Calibri"/>
          <w:sz w:val="22"/>
          <w:szCs w:val="22"/>
        </w:rPr>
        <w:t xml:space="preserve">" means the Collected Client Fees for an Engagement Year less the Platform Revenue, allocated between the Parties under clause 11.1.</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Services</w:t>
      </w:r>
      <w:r>
        <w:rPr>
          <w:rFonts w:ascii="Calibri" w:cs="Calibri" w:eastAsia="Calibri" w:hAnsi="Calibri"/>
          <w:sz w:val="22"/>
          <w:szCs w:val="22"/>
        </w:rPr>
        <w:t xml:space="preserve">" means the services OBVG performs under clause 5 and Schedule 1. "</w:t>
      </w:r>
      <w:r>
        <w:rPr>
          <w:rFonts w:ascii="Calibri" w:cs="Calibri" w:eastAsia="Calibri" w:hAnsi="Calibri"/>
          <w:b/>
          <w:bCs/>
          <w:sz w:val="22"/>
          <w:szCs w:val="22"/>
        </w:rPr>
        <w:t xml:space="preserve">Solution</w:t>
      </w:r>
      <w:r>
        <w:rPr>
          <w:rFonts w:ascii="Calibri" w:cs="Calibri" w:eastAsia="Calibri" w:hAnsi="Calibri"/>
          <w:sz w:val="22"/>
          <w:szCs w:val="22"/>
        </w:rPr>
        <w:t xml:space="preserve">" means the Managed Partner Development solution in Schedule 1. "</w:t>
      </w:r>
      <w:r>
        <w:rPr>
          <w:rFonts w:ascii="Calibri" w:cs="Calibri" w:eastAsia="Calibri" w:hAnsi="Calibri"/>
          <w:b/>
          <w:bCs/>
          <w:sz w:val="22"/>
          <w:szCs w:val="22"/>
        </w:rPr>
        <w:t xml:space="preserve">Tier</w:t>
      </w:r>
      <w:r>
        <w:rPr>
          <w:rFonts w:ascii="Calibri" w:cs="Calibri" w:eastAsia="Calibri" w:hAnsi="Calibri"/>
          <w:sz w:val="22"/>
          <w:szCs w:val="22"/>
        </w:rPr>
        <w:t xml:space="preserve">" means Tier 1, 2 or 3 as described in Schedule 1.</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Taxes</w:t>
      </w:r>
      <w:r>
        <w:rPr>
          <w:rFonts w:ascii="Calibri" w:cs="Calibri" w:eastAsia="Calibri" w:hAnsi="Calibri"/>
          <w:sz w:val="22"/>
          <w:szCs w:val="22"/>
        </w:rPr>
        <w:t xml:space="preserve">" means sales, use, value added, goods and services, excise and similar transaction taxes, excluding taxes on a Party's net income.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Transaction</w:t>
      </w:r>
      <w:r>
        <w:rPr>
          <w:rFonts w:ascii="Calibri" w:cs="Calibri" w:eastAsia="Calibri" w:hAnsi="Calibri"/>
          <w:sz w:val="22"/>
          <w:szCs w:val="22"/>
        </w:rPr>
        <w:t xml:space="preserve">" means a completed purchase through AWS Marketplace sourced by a Recruited Partner and attributable to a Registered Client's listing.</w:t>
      </w:r>
    </w:p>
    <w:p>
      <w:pPr>
        <w:pStyle w:val="Heading3"/>
        <w:keepNext/>
        <w:spacing w:after="120" w:before="220"/>
      </w:pPr>
      <w:r>
        <w:rPr>
          <w:rFonts w:ascii="Calibri" w:cs="Calibri" w:eastAsia="Calibri" w:hAnsi="Calibri"/>
          <w:b/>
          <w:bCs/>
          <w:sz w:val="22"/>
          <w:szCs w:val="22"/>
        </w:rPr>
        <w:t xml:space="preserve">1.2 Interpretation</w:t>
      </w:r>
    </w:p>
    <w:p>
      <w:pPr>
        <w:spacing w:after="160" w:before="0" w:line="276"/>
        <w:jc w:val="both"/>
      </w:pPr>
      <w:r>
        <w:rPr>
          <w:rFonts w:ascii="Calibri" w:cs="Calibri" w:eastAsia="Calibri" w:hAnsi="Calibri"/>
          <w:sz w:val="22"/>
          <w:szCs w:val="22"/>
        </w:rPr>
        <w:t xml:space="preserve">Headings do not affect interpretation. "Including" is not limiting. "$" means United States dollars and all amounts exclude Taxes. References to clauses and Schedules are to this Agreement, and the Schedules form part of it. The singular includes the plural. A reference to a statute or AWS Program Term is to it as amended or replaced. A bracketed item marked "to confirm" within an operative provision has the value stated for it in Schedule 8 paragraph 4 until the Parties confirm a different value in writing. The items in Schedule 8 paragraph 1 are dependencies to which clause 14 applies. No rule of construction operates against the drafter.</w:t>
      </w:r>
    </w:p>
    <w:p>
      <w:pPr>
        <w:pStyle w:val="Heading2"/>
        <w:keepNext/>
        <w:spacing w:after="140" w:before="300"/>
      </w:pPr>
      <w:r>
        <w:rPr>
          <w:rFonts w:ascii="Calibri" w:cs="Calibri" w:eastAsia="Calibri" w:hAnsi="Calibri"/>
          <w:b/>
          <w:bCs/>
          <w:sz w:val="24"/>
          <w:szCs w:val="24"/>
        </w:rPr>
        <w:t xml:space="preserve">2. Structure and Order of Precedence</w:t>
      </w:r>
    </w:p>
    <w:p>
      <w:pPr>
        <w:spacing w:after="160" w:before="0" w:line="276"/>
        <w:jc w:val="both"/>
      </w:pPr>
      <w:r>
        <w:rPr>
          <w:rFonts w:ascii="Calibri" w:cs="Calibri" w:eastAsia="Calibri" w:hAnsi="Calibri"/>
          <w:b/>
          <w:bCs/>
          <w:sz w:val="22"/>
          <w:szCs w:val="22"/>
        </w:rPr>
        <w:t xml:space="preserve">2.1</w:t>
      </w:r>
      <w:r>
        <w:rPr>
          <w:rFonts w:ascii="Calibri" w:cs="Calibri" w:eastAsia="Calibri" w:hAnsi="Calibri"/>
          <w:sz w:val="22"/>
          <w:szCs w:val="22"/>
        </w:rPr>
        <w:t xml:space="preserve"> This Agreement consists of these clauses, the Schedules, and each Engagement Order. An Engagement Order incorporates this Agreement by reference and takes effect when signed by both Parties.</w:t>
      </w:r>
    </w:p>
    <w:p>
      <w:pPr>
        <w:spacing w:after="160" w:before="0" w:line="276"/>
        <w:jc w:val="both"/>
      </w:pPr>
      <w:r>
        <w:rPr>
          <w:rFonts w:ascii="Calibri" w:cs="Calibri" w:eastAsia="Calibri" w:hAnsi="Calibri"/>
          <w:b/>
          <w:bCs/>
          <w:sz w:val="22"/>
          <w:szCs w:val="22"/>
        </w:rPr>
        <w:t xml:space="preserve">2.2</w:t>
      </w:r>
      <w:r>
        <w:rPr>
          <w:rFonts w:ascii="Calibri" w:cs="Calibri" w:eastAsia="Calibri" w:hAnsi="Calibri"/>
          <w:sz w:val="22"/>
          <w:szCs w:val="22"/>
        </w:rPr>
        <w:t xml:space="preserve"> On conflict, the following prevails in descending order: an Engagement Order, but only for its own Engagement and only where it expressly identifies the provision it varies; these clauses; the Schedules.</w:t>
      </w:r>
    </w:p>
    <w:p>
      <w:pPr>
        <w:spacing w:after="160" w:before="0" w:line="276"/>
        <w:jc w:val="both"/>
      </w:pPr>
      <w:r>
        <w:rPr>
          <w:rFonts w:ascii="Calibri" w:cs="Calibri" w:eastAsia="Calibri" w:hAnsi="Calibri"/>
          <w:b/>
          <w:bCs/>
          <w:sz w:val="22"/>
          <w:szCs w:val="22"/>
        </w:rPr>
        <w:t xml:space="preserve">2.3</w:t>
      </w:r>
      <w:r>
        <w:rPr>
          <w:rFonts w:ascii="Calibri" w:cs="Calibri" w:eastAsia="Calibri" w:hAnsi="Calibri"/>
          <w:sz w:val="22"/>
          <w:szCs w:val="22"/>
        </w:rPr>
        <w:t xml:space="preserve"> A Client Agreement is not part of this Agreement, does not bind OBVG, and cannot vary it. Clause 6.5 governs flow-down.</w:t>
      </w:r>
    </w:p>
    <w:p>
      <w:pPr>
        <w:pStyle w:val="Heading2"/>
        <w:keepNext/>
        <w:spacing w:after="140" w:before="300"/>
      </w:pPr>
      <w:r>
        <w:rPr>
          <w:rFonts w:ascii="Calibri" w:cs="Calibri" w:eastAsia="Calibri" w:hAnsi="Calibri"/>
          <w:b/>
          <w:bCs/>
          <w:sz w:val="24"/>
          <w:szCs w:val="24"/>
        </w:rPr>
        <w:t xml:space="preserve">3. Appointment</w:t>
      </w:r>
    </w:p>
    <w:p>
      <w:pPr>
        <w:spacing w:after="160" w:before="0" w:line="276"/>
        <w:jc w:val="both"/>
      </w:pPr>
      <w:r>
        <w:rPr>
          <w:rFonts w:ascii="Calibri" w:cs="Calibri" w:eastAsia="Calibri" w:hAnsi="Calibri"/>
          <w:b/>
          <w:bCs/>
          <w:sz w:val="22"/>
          <w:szCs w:val="22"/>
        </w:rPr>
        <w:t xml:space="preserve">3.1 Appointment.</w:t>
      </w:r>
      <w:r>
        <w:rPr>
          <w:rFonts w:ascii="Calibri" w:cs="Calibri" w:eastAsia="Calibri" w:hAnsi="Calibri"/>
          <w:sz w:val="22"/>
          <w:szCs w:val="22"/>
        </w:rPr>
        <w:t xml:space="preserve"> Automatum appoints OBVG as a delivery subcontractor to perform the Services for Registered Clients under the Automatum Brand, and OBVG accepts.</w:t>
      </w:r>
    </w:p>
    <w:p>
      <w:pPr>
        <w:spacing w:after="160" w:before="0" w:line="276"/>
        <w:jc w:val="both"/>
      </w:pPr>
      <w:r>
        <w:rPr>
          <w:rFonts w:ascii="Calibri" w:cs="Calibri" w:eastAsia="Calibri" w:hAnsi="Calibri"/>
          <w:b/>
          <w:bCs/>
          <w:sz w:val="22"/>
          <w:szCs w:val="22"/>
        </w:rPr>
        <w:t xml:space="preserve">3.2 Non-exclusive.</w:t>
      </w:r>
      <w:r>
        <w:rPr>
          <w:rFonts w:ascii="Calibri" w:cs="Calibri" w:eastAsia="Calibri" w:hAnsi="Calibri"/>
          <w:sz w:val="22"/>
          <w:szCs w:val="22"/>
        </w:rPr>
        <w:t xml:space="preserve"> The appointment is non-exclusive for each Party. Automatum may perform the Services itself or appoint others for any client, and OBVG may provide the same or similar services to anyone, including another AWS Marketplace seller. This is subject only to clause 15.</w:t>
      </w:r>
    </w:p>
    <w:p>
      <w:pPr>
        <w:spacing w:after="160" w:before="0" w:line="276"/>
        <w:jc w:val="both"/>
      </w:pPr>
      <w:r>
        <w:rPr>
          <w:rFonts w:ascii="Calibri" w:cs="Calibri" w:eastAsia="Calibri" w:hAnsi="Calibri"/>
          <w:b/>
          <w:bCs/>
          <w:sz w:val="22"/>
          <w:szCs w:val="22"/>
        </w:rPr>
        <w:t xml:space="preserve">3.3 No volume commitment.</w:t>
      </w:r>
      <w:r>
        <w:rPr>
          <w:rFonts w:ascii="Calibri" w:cs="Calibri" w:eastAsia="Calibri" w:hAnsi="Calibri"/>
          <w:sz w:val="22"/>
          <w:szCs w:val="22"/>
        </w:rPr>
        <w:t xml:space="preserve"> Automatum commits to no minimum number of Engagements, Registered Clients or Client Fees, and OBVG has not relied on any forecast, projection or business case exchanged before the Effective Date.</w:t>
      </w:r>
    </w:p>
    <w:p>
      <w:pPr>
        <w:spacing w:after="160" w:before="0" w:line="276"/>
        <w:jc w:val="both"/>
      </w:pPr>
      <w:r>
        <w:rPr>
          <w:rFonts w:ascii="Calibri" w:cs="Calibri" w:eastAsia="Calibri" w:hAnsi="Calibri"/>
          <w:b/>
          <w:bCs/>
          <w:sz w:val="22"/>
          <w:szCs w:val="22"/>
        </w:rPr>
        <w:t xml:space="preserve">3.4 No agency.</w:t>
      </w:r>
      <w:r>
        <w:rPr>
          <w:rFonts w:ascii="Calibri" w:cs="Calibri" w:eastAsia="Calibri" w:hAnsi="Calibri"/>
          <w:sz w:val="22"/>
          <w:szCs w:val="22"/>
        </w:rPr>
        <w:t xml:space="preserve"> OBVG is an independent contractor, not Automatum's agent, employee, partner or joint venturer, and may not bind Automatum except as Automatum authorizes in writing for a specific matter.</w:t>
      </w:r>
    </w:p>
    <w:p>
      <w:pPr>
        <w:spacing w:after="160" w:before="0" w:line="276"/>
        <w:jc w:val="both"/>
      </w:pPr>
      <w:r>
        <w:rPr>
          <w:rFonts w:ascii="Calibri" w:cs="Calibri" w:eastAsia="Calibri" w:hAnsi="Calibri"/>
          <w:b/>
          <w:bCs/>
          <w:sz w:val="22"/>
          <w:szCs w:val="22"/>
        </w:rPr>
        <w:t xml:space="preserve">3.5 Prime responsibility.</w:t>
      </w:r>
      <w:r>
        <w:rPr>
          <w:rFonts w:ascii="Calibri" w:cs="Calibri" w:eastAsia="Calibri" w:hAnsi="Calibri"/>
          <w:sz w:val="22"/>
          <w:szCs w:val="22"/>
        </w:rPr>
        <w:t xml:space="preserve"> Automatum is the prime contractor and is responsible to each Registered Client for the Solution as a whole. As between the Parties, OBVG is responsible for the Services and for its personnel and subcontractors.</w:t>
      </w:r>
    </w:p>
    <w:p>
      <w:pPr>
        <w:pStyle w:val="Heading2"/>
        <w:keepNext/>
        <w:spacing w:after="140" w:before="300"/>
      </w:pPr>
      <w:r>
        <w:rPr>
          <w:rFonts w:ascii="Calibri" w:cs="Calibri" w:eastAsia="Calibri" w:hAnsi="Calibri"/>
          <w:b/>
          <w:bCs/>
          <w:sz w:val="24"/>
          <w:szCs w:val="24"/>
        </w:rPr>
        <w:t xml:space="preserve">4. Client Registry and Engagement Orders</w:t>
      </w:r>
    </w:p>
    <w:p>
      <w:pPr>
        <w:spacing w:after="160" w:before="0" w:line="276"/>
        <w:jc w:val="both"/>
      </w:pPr>
      <w:r>
        <w:rPr>
          <w:rFonts w:ascii="Calibri" w:cs="Calibri" w:eastAsia="Calibri" w:hAnsi="Calibri"/>
          <w:b/>
          <w:bCs/>
          <w:sz w:val="22"/>
          <w:szCs w:val="22"/>
        </w:rPr>
        <w:t xml:space="preserve">4.1 Purpose.</w:t>
      </w:r>
      <w:r>
        <w:rPr>
          <w:rFonts w:ascii="Calibri" w:cs="Calibri" w:eastAsia="Calibri" w:hAnsi="Calibri"/>
          <w:sz w:val="22"/>
          <w:szCs w:val="22"/>
        </w:rPr>
        <w:t xml:space="preserve"> The Client Registry is the sole record of which Clients are subject to this Agreement. A Client is within scope only once entered in it.</w:t>
      </w:r>
    </w:p>
    <w:p>
      <w:pPr>
        <w:spacing w:after="160" w:before="0" w:line="276"/>
        <w:jc w:val="both"/>
      </w:pPr>
      <w:r>
        <w:rPr>
          <w:rFonts w:ascii="Calibri" w:cs="Calibri" w:eastAsia="Calibri" w:hAnsi="Calibri"/>
          <w:b/>
          <w:bCs/>
          <w:sz w:val="22"/>
          <w:szCs w:val="22"/>
        </w:rPr>
        <w:t xml:space="preserve">4.2 Adding a Client.</w:t>
      </w:r>
      <w:r>
        <w:rPr>
          <w:rFonts w:ascii="Calibri" w:cs="Calibri" w:eastAsia="Calibri" w:hAnsi="Calibri"/>
          <w:sz w:val="22"/>
          <w:szCs w:val="22"/>
        </w:rPr>
        <w:t xml:space="preserve"> A Client is added when the Parties execute an Engagement Order. Automatum maintains the Client Registry and provides a current copy with each monthly statement under clause 11.5 and on request.</w:t>
      </w:r>
    </w:p>
    <w:p>
      <w:pPr>
        <w:spacing w:after="160" w:before="0" w:line="276"/>
        <w:jc w:val="both"/>
      </w:pPr>
      <w:r>
        <w:rPr>
          <w:rFonts w:ascii="Calibri" w:cs="Calibri" w:eastAsia="Calibri" w:hAnsi="Calibri"/>
          <w:b/>
          <w:bCs/>
          <w:sz w:val="22"/>
          <w:szCs w:val="22"/>
        </w:rPr>
        <w:t xml:space="preserve">4.3 Engagement Order contents.</w:t>
      </w:r>
      <w:r>
        <w:rPr>
          <w:rFonts w:ascii="Calibri" w:cs="Calibri" w:eastAsia="Calibri" w:hAnsi="Calibri"/>
          <w:sz w:val="22"/>
          <w:szCs w:val="22"/>
        </w:rPr>
        <w:t xml:space="preserve"> Each Engagement Order states at least: the Client's legal name; the Tier; the Client Status and Client Source; the Engagement start and Engagement Year dates; the Client Fees and the resulting OBVG Service Revenue; the personnel named under clause 9; the PSR seat allocation; and any variation permitted by clause 2.2.</w:t>
      </w:r>
    </w:p>
    <w:p>
      <w:pPr>
        <w:spacing w:after="160" w:before="0" w:line="276"/>
        <w:jc w:val="both"/>
      </w:pPr>
      <w:r>
        <w:rPr>
          <w:rFonts w:ascii="Calibri" w:cs="Calibri" w:eastAsia="Calibri" w:hAnsi="Calibri"/>
          <w:b/>
          <w:bCs/>
          <w:sz w:val="22"/>
          <w:szCs w:val="22"/>
        </w:rPr>
        <w:t xml:space="preserve">4.4 Prior relationships.</w:t>
      </w:r>
      <w:r>
        <w:rPr>
          <w:rFonts w:ascii="Calibri" w:cs="Calibri" w:eastAsia="Calibri" w:hAnsi="Calibri"/>
          <w:sz w:val="22"/>
          <w:szCs w:val="22"/>
        </w:rPr>
        <w:t xml:space="preserve"> Before an Engagement Order is executed, OBVG may notify Automatum in writing, with reasonable evidence, of a pre-existing relationship with the proposed Client or a named partner of it. A relationship so notified is a "Prior Relationship" and is carved out of clause 15.2. A relationship not notified before execution is not a Prior Relationship.</w:t>
      </w:r>
    </w:p>
    <w:p>
      <w:pPr>
        <w:spacing w:after="160" w:before="0" w:line="276"/>
        <w:jc w:val="both"/>
      </w:pPr>
      <w:r>
        <w:rPr>
          <w:rFonts w:ascii="Calibri" w:cs="Calibri" w:eastAsia="Calibri" w:hAnsi="Calibri"/>
          <w:b/>
          <w:bCs/>
          <w:sz w:val="22"/>
          <w:szCs w:val="22"/>
        </w:rPr>
        <w:t xml:space="preserve">4.5 Refusal.</w:t>
      </w:r>
      <w:r>
        <w:rPr>
          <w:rFonts w:ascii="Calibri" w:cs="Calibri" w:eastAsia="Calibri" w:hAnsi="Calibri"/>
          <w:sz w:val="22"/>
          <w:szCs w:val="22"/>
        </w:rPr>
        <w:t xml:space="preserve"> OBVG may decline a proposed Engagement Order within 5 Business Days, acting reasonably, including for lack of capacity at the proposed Tier, because the proposed Client competes with an existing OBVG client, or because the proposed Client's existing Client Agreement does not meet clause 6.5. Declining is not a breach, and Automatum may then serve that Client itself or through another provider.</w:t>
      </w:r>
    </w:p>
    <w:p>
      <w:pPr>
        <w:spacing w:after="160" w:before="0" w:line="276"/>
        <w:jc w:val="both"/>
      </w:pPr>
      <w:r>
        <w:rPr>
          <w:rFonts w:ascii="Calibri" w:cs="Calibri" w:eastAsia="Calibri" w:hAnsi="Calibri"/>
          <w:b/>
          <w:bCs/>
          <w:sz w:val="22"/>
          <w:szCs w:val="22"/>
        </w:rPr>
        <w:t xml:space="preserve">4.6 Removal.</w:t>
      </w:r>
      <w:r>
        <w:rPr>
          <w:rFonts w:ascii="Calibri" w:cs="Calibri" w:eastAsia="Calibri" w:hAnsi="Calibri"/>
          <w:sz w:val="22"/>
          <w:szCs w:val="22"/>
        </w:rPr>
        <w:t xml:space="preserve"> A Client remains in the Client Registry while its Engagement is in effect and for the period in clause 15.2, then is marked closed. Closure does not affect clause 23.6.</w:t>
      </w:r>
    </w:p>
    <w:p>
      <w:pPr>
        <w:spacing w:after="160" w:before="0" w:line="276"/>
        <w:jc w:val="both"/>
      </w:pPr>
      <w:r>
        <w:rPr>
          <w:rFonts w:ascii="Calibri" w:cs="Calibri" w:eastAsia="Calibri" w:hAnsi="Calibri"/>
          <w:b/>
          <w:bCs/>
          <w:sz w:val="22"/>
          <w:szCs w:val="22"/>
        </w:rPr>
        <w:t xml:space="preserve">4.7 Client Status and Client Source.</w:t>
      </w:r>
      <w:r>
        <w:rPr>
          <w:rFonts w:ascii="Calibri" w:cs="Calibri" w:eastAsia="Calibri" w:hAnsi="Calibri"/>
          <w:sz w:val="22"/>
          <w:szCs w:val="22"/>
        </w:rPr>
        <w:t xml:space="preserve"> Each Engagement Order records two classifications, fixed at execution and not revisited during that Engagement Year:</w:t>
      </w:r>
    </w:p>
    <w:p>
      <w:pPr>
        <w:spacing w:after="80" w:before="60" w:line="276"/>
        <w:ind w:left="780" w:hanging="360"/>
      </w:pPr>
      <w:r>
        <w:rPr>
          <w:rFonts w:ascii="Calibri" w:cs="Calibri" w:eastAsia="Calibri" w:hAnsi="Calibri"/>
          <w:sz w:val="22"/>
          <w:szCs w:val="22"/>
        </w:rPr>
        <w:t xml:space="preserve">a.	</w:t>
      </w:r>
      <w:r>
        <w:rPr>
          <w:rFonts w:ascii="Calibri" w:cs="Calibri" w:eastAsia="Calibri" w:hAnsi="Calibri"/>
          <w:b/>
          <w:bCs/>
          <w:sz w:val="22"/>
          <w:szCs w:val="22"/>
        </w:rPr>
        <w:t xml:space="preserve">Client Status</w:t>
      </w:r>
      <w:r>
        <w:rPr>
          <w:rFonts w:ascii="Calibri" w:cs="Calibri" w:eastAsia="Calibri" w:hAnsi="Calibri"/>
          <w:sz w:val="22"/>
          <w:szCs w:val="22"/>
        </w:rPr>
        <w:t xml:space="preserve"> - Net New Client or Existing Automatum Client. Automatum will disclose before execution whether the proposed Client holds or held any paid Automatum subscription in the preceding 90 days, with reasonable evidence on request. Client Status determines the division of Service Revenue under clause 11.1.</w:t>
      </w:r>
    </w:p>
    <w:p>
      <w:pPr>
        <w:spacing w:after="80" w:before="60" w:line="276"/>
        <w:ind w:left="780" w:hanging="360"/>
      </w:pPr>
      <w:r>
        <w:rPr>
          <w:rFonts w:ascii="Calibri" w:cs="Calibri" w:eastAsia="Calibri" w:hAnsi="Calibri"/>
          <w:sz w:val="22"/>
          <w:szCs w:val="22"/>
        </w:rPr>
        <w:t xml:space="preserve">b.	</w:t>
      </w:r>
      <w:r>
        <w:rPr>
          <w:rFonts w:ascii="Calibri" w:cs="Calibri" w:eastAsia="Calibri" w:hAnsi="Calibri"/>
          <w:b/>
          <w:bCs/>
          <w:sz w:val="22"/>
          <w:szCs w:val="22"/>
        </w:rPr>
        <w:t xml:space="preserve">Client Source</w:t>
      </w:r>
      <w:r>
        <w:rPr>
          <w:rFonts w:ascii="Calibri" w:cs="Calibri" w:eastAsia="Calibri" w:hAnsi="Calibri"/>
          <w:sz w:val="22"/>
          <w:szCs w:val="22"/>
        </w:rPr>
        <w:t xml:space="preserve"> - OBVG-Sourced, Automatum-Sourced, or Joint or ACE-Sourced. A Client is OBVG-Sourced or Automatum-Sourced according to which Party first made documented contact with the Client about the Solution, and Joint or ACE-Sourced where the opportunity came through ACE or neither Party can show first contact.</w:t>
      </w:r>
    </w:p>
    <w:p>
      <w:pPr>
        <w:spacing w:after="160" w:before="0" w:line="276"/>
        <w:jc w:val="both"/>
      </w:pPr>
      <w:r>
        <w:rPr>
          <w:rFonts w:ascii="Calibri" w:cs="Calibri" w:eastAsia="Calibri" w:hAnsi="Calibri"/>
          <w:sz w:val="22"/>
          <w:szCs w:val="22"/>
        </w:rPr>
        <w:t xml:space="preserve">Client Status is re-determined on a renewal Engagement Order. A dispute about either classification is escalated under clause 26.1.</w:t>
      </w:r>
    </w:p>
    <w:p>
      <w:pPr>
        <w:pStyle w:val="Heading2"/>
        <w:keepNext/>
        <w:spacing w:after="140" w:before="300"/>
      </w:pPr>
      <w:r>
        <w:rPr>
          <w:rFonts w:ascii="Calibri" w:cs="Calibri" w:eastAsia="Calibri" w:hAnsi="Calibri"/>
          <w:b/>
          <w:bCs/>
          <w:sz w:val="24"/>
          <w:szCs w:val="24"/>
        </w:rPr>
        <w:t xml:space="preserve">5. OBVG Delivery Obligations</w:t>
      </w:r>
    </w:p>
    <w:p>
      <w:pPr>
        <w:spacing w:after="160" w:before="0" w:line="276"/>
        <w:jc w:val="both"/>
      </w:pPr>
      <w:r>
        <w:rPr>
          <w:rFonts w:ascii="Calibri" w:cs="Calibri" w:eastAsia="Calibri" w:hAnsi="Calibri"/>
          <w:b/>
          <w:bCs/>
          <w:sz w:val="22"/>
          <w:szCs w:val="22"/>
        </w:rPr>
        <w:t xml:space="preserve">5.1 The Services.</w:t>
      </w:r>
      <w:r>
        <w:rPr>
          <w:rFonts w:ascii="Calibri" w:cs="Calibri" w:eastAsia="Calibri" w:hAnsi="Calibri"/>
          <w:sz w:val="22"/>
          <w:szCs w:val="22"/>
        </w:rPr>
        <w:t xml:space="preserve"> For each Engagement OBVG will, at the applicable Tier and to the service levels in Schedule 4, using suitably skilled personnel and with reasonable skill and care:</w:t>
      </w:r>
    </w:p>
    <w:p>
      <w:pPr>
        <w:spacing w:after="80" w:before="60" w:line="276"/>
        <w:ind w:left="780" w:hanging="360"/>
      </w:pPr>
      <w:r>
        <w:rPr>
          <w:rFonts w:ascii="Calibri" w:cs="Calibri" w:eastAsia="Calibri" w:hAnsi="Calibri"/>
          <w:sz w:val="22"/>
          <w:szCs w:val="22"/>
        </w:rPr>
        <w:t xml:space="preserve">a.	identify, qualify, recruit and onboard Recruited Partners against the ideal partner profile in the Engagement Order, up to the number stated for that Tier, screening each candidate before onboarding against sanctions and denied party lists, adverse media, beneficial ownership including whether any owner or controller is a government official, AWS Partner Network standing, and financial standing;</w:t>
      </w:r>
    </w:p>
    <w:p>
      <w:pPr>
        <w:spacing w:after="80" w:before="60" w:line="276"/>
        <w:ind w:left="780" w:hanging="360"/>
      </w:pPr>
      <w:r>
        <w:rPr>
          <w:rFonts w:ascii="Calibri" w:cs="Calibri" w:eastAsia="Calibri" w:hAnsi="Calibri"/>
          <w:sz w:val="22"/>
          <w:szCs w:val="22"/>
        </w:rPr>
        <w:t xml:space="preserve">b.	draft, issue and administer the partner agreement and margin schedule;</w:t>
      </w:r>
    </w:p>
    <w:p>
      <w:pPr>
        <w:spacing w:after="80" w:before="60" w:line="276"/>
        <w:ind w:left="780" w:hanging="360"/>
      </w:pPr>
      <w:r>
        <w:rPr>
          <w:rFonts w:ascii="Calibri" w:cs="Calibri" w:eastAsia="Calibri" w:hAnsi="Calibri"/>
          <w:sz w:val="22"/>
          <w:szCs w:val="22"/>
        </w:rPr>
        <w:t xml:space="preserve">c.	guide each partner through AWS registration, tax and banking details and service-linked role creation;</w:t>
      </w:r>
    </w:p>
    <w:p>
      <w:pPr>
        <w:spacing w:after="80" w:before="60" w:line="276"/>
        <w:ind w:left="780" w:hanging="360"/>
      </w:pPr>
      <w:r>
        <w:rPr>
          <w:rFonts w:ascii="Calibri" w:cs="Calibri" w:eastAsia="Calibri" w:hAnsi="Calibri"/>
          <w:sz w:val="22"/>
          <w:szCs w:val="22"/>
        </w:rPr>
        <w:t xml:space="preserve">d.	deliver enablement and training sessions at the Tier cadence, covering the Client's product, offer mechanics, deal registration and the margin schedule;</w:t>
      </w:r>
    </w:p>
    <w:p>
      <w:pPr>
        <w:spacing w:after="80" w:before="60" w:line="276"/>
        <w:ind w:left="780" w:hanging="360"/>
      </w:pPr>
      <w:r>
        <w:rPr>
          <w:rFonts w:ascii="Calibri" w:cs="Calibri" w:eastAsia="Calibri" w:hAnsi="Calibri"/>
          <w:sz w:val="22"/>
          <w:szCs w:val="22"/>
        </w:rPr>
        <w:t xml:space="preserve">e.	operate the CPPO deal desk, delivering an Issuance-Ready Package to Automatum within the OBVG leg in Schedule 4;</w:t>
      </w:r>
    </w:p>
    <w:p>
      <w:pPr>
        <w:spacing w:after="80" w:before="60" w:line="276"/>
        <w:ind w:left="780" w:hanging="360"/>
      </w:pPr>
      <w:r>
        <w:rPr>
          <w:rFonts w:ascii="Calibri" w:cs="Calibri" w:eastAsia="Calibri" w:hAnsi="Calibri"/>
          <w:sz w:val="22"/>
          <w:szCs w:val="22"/>
        </w:rPr>
        <w:t xml:space="preserve">f.	prepare and submit to Automatum requests for recurring Selling Authorizations, and track their status in the PSR;</w:t>
      </w:r>
    </w:p>
    <w:p>
      <w:pPr>
        <w:spacing w:after="80" w:before="60" w:line="276"/>
        <w:ind w:left="780" w:hanging="360"/>
      </w:pPr>
      <w:r>
        <w:rPr>
          <w:rFonts w:ascii="Calibri" w:cs="Calibri" w:eastAsia="Calibri" w:hAnsi="Calibri"/>
          <w:sz w:val="22"/>
          <w:szCs w:val="22"/>
        </w:rPr>
        <w:t xml:space="preserve">g.	deliver Channel Reviews at the Tier cadence;</w:t>
      </w:r>
    </w:p>
    <w:p>
      <w:pPr>
        <w:spacing w:after="80" w:before="60" w:line="276"/>
        <w:ind w:left="780" w:hanging="360"/>
      </w:pPr>
      <w:r>
        <w:rPr>
          <w:rFonts w:ascii="Calibri" w:cs="Calibri" w:eastAsia="Calibri" w:hAnsi="Calibri"/>
          <w:sz w:val="22"/>
          <w:szCs w:val="22"/>
        </w:rPr>
        <w:t xml:space="preserve">h.	stand up, configure, host, operate, support and maintain the PSR under clause 10 and Schedule 5, within the OBVG Service Revenue and not separately chargeable;</w:t>
      </w:r>
    </w:p>
    <w:p>
      <w:pPr>
        <w:spacing w:after="80" w:before="60" w:line="276"/>
        <w:ind w:left="780" w:hanging="360"/>
      </w:pPr>
      <w:r>
        <w:rPr>
          <w:rFonts w:ascii="Calibri" w:cs="Calibri" w:eastAsia="Calibri" w:hAnsi="Calibri"/>
          <w:sz w:val="22"/>
          <w:szCs w:val="22"/>
        </w:rPr>
        <w:t xml:space="preserve">i.	support configuration of AWS Partner Revenue Measurement attribution so far as within OBVG's control, and where action is required of Automatum, the Client or AWS, specify what is required and verify the result;</w:t>
      </w:r>
    </w:p>
    <w:p>
      <w:pPr>
        <w:spacing w:after="80" w:before="60" w:line="276"/>
        <w:ind w:left="780" w:hanging="360"/>
      </w:pPr>
      <w:r>
        <w:rPr>
          <w:rFonts w:ascii="Calibri" w:cs="Calibri" w:eastAsia="Calibri" w:hAnsi="Calibri"/>
          <w:sz w:val="22"/>
          <w:szCs w:val="22"/>
        </w:rPr>
        <w:t xml:space="preserve">j.	file partner-sourced opportunities to ACE under the APN account in Schedule 8 and no other, tracked distinctly from any baseline quota; and</w:t>
      </w:r>
    </w:p>
    <w:p>
      <w:pPr>
        <w:spacing w:after="80" w:before="60" w:line="276"/>
        <w:ind w:left="780" w:hanging="360"/>
      </w:pPr>
      <w:r>
        <w:rPr>
          <w:rFonts w:ascii="Calibri" w:cs="Calibri" w:eastAsia="Calibri" w:hAnsi="Calibri"/>
          <w:sz w:val="22"/>
          <w:szCs w:val="22"/>
        </w:rPr>
        <w:t xml:space="preserve">k.	deliver the monthly reporting pack in Schedule 4 within 5 Business Days of month end, in the Automatum Brand and in a form Automatum can pass to the Client unaltered.</w:t>
      </w:r>
    </w:p>
    <w:p>
      <w:pPr>
        <w:spacing w:after="160" w:before="0" w:line="276"/>
        <w:jc w:val="both"/>
      </w:pPr>
      <w:r>
        <w:rPr>
          <w:rFonts w:ascii="Calibri" w:cs="Calibri" w:eastAsia="Calibri" w:hAnsi="Calibri"/>
          <w:b/>
          <w:bCs/>
          <w:sz w:val="22"/>
          <w:szCs w:val="22"/>
        </w:rPr>
        <w:t xml:space="preserve">5.2 Recruitment ceiling.</w:t>
      </w:r>
      <w:r>
        <w:rPr>
          <w:rFonts w:ascii="Calibri" w:cs="Calibri" w:eastAsia="Calibri" w:hAnsi="Calibri"/>
          <w:sz w:val="22"/>
          <w:szCs w:val="22"/>
        </w:rPr>
        <w:t xml:space="preserve"> The partner numbers in Schedule 1 are the maximum OBVG must recruit and onboard. OBVG does not warrant, and need not procure, that any minimum number of partners is recruited, onboarded, authorized, transacts or becomes an Active Partner, and Automatum will not represent otherwise.</w:t>
      </w:r>
    </w:p>
    <w:p>
      <w:pPr>
        <w:spacing w:after="160" w:before="0" w:line="276"/>
        <w:jc w:val="both"/>
      </w:pPr>
      <w:r>
        <w:rPr>
          <w:rFonts w:ascii="Calibri" w:cs="Calibri" w:eastAsia="Calibri" w:hAnsi="Calibri"/>
          <w:b/>
          <w:bCs/>
          <w:sz w:val="22"/>
          <w:szCs w:val="22"/>
        </w:rPr>
        <w:t xml:space="preserve">5.3 Partner contracting.</w:t>
      </w:r>
      <w:r>
        <w:rPr>
          <w:rFonts w:ascii="Calibri" w:cs="Calibri" w:eastAsia="Calibri" w:hAnsi="Calibri"/>
          <w:sz w:val="22"/>
          <w:szCs w:val="22"/>
        </w:rPr>
        <w:t xml:space="preserve"> Each partner agreement is executed between the Registered Client, or Automatum as its agent, and the Recruited Partner. OBVG is not a party to any partner agreement as principal and will not enter into one in its own name. OBVG administers them as agent under, and only to the extent of, the authority in the Engagement Order.</w:t>
      </w:r>
    </w:p>
    <w:p>
      <w:pPr>
        <w:spacing w:after="160" w:before="0" w:line="276"/>
        <w:jc w:val="both"/>
      </w:pPr>
      <w:r>
        <w:rPr>
          <w:rFonts w:ascii="Calibri" w:cs="Calibri" w:eastAsia="Calibri" w:hAnsi="Calibri"/>
          <w:b/>
          <w:bCs/>
          <w:sz w:val="22"/>
          <w:szCs w:val="22"/>
        </w:rPr>
        <w:t xml:space="preserve">5.4 Deal desk boundary.</w:t>
      </w:r>
      <w:r>
        <w:rPr>
          <w:rFonts w:ascii="Calibri" w:cs="Calibri" w:eastAsia="Calibri" w:hAnsi="Calibri"/>
          <w:sz w:val="22"/>
          <w:szCs w:val="22"/>
        </w:rPr>
        <w:t xml:space="preserve"> OBVG's deal desk obligation ends on delivery of the Issuance-Ready Package. Clause 6.3 governs issuance.</w:t>
      </w:r>
    </w:p>
    <w:p>
      <w:pPr>
        <w:spacing w:after="160" w:before="0" w:line="276"/>
        <w:jc w:val="both"/>
      </w:pPr>
      <w:r>
        <w:rPr>
          <w:rFonts w:ascii="Calibri" w:cs="Calibri" w:eastAsia="Calibri" w:hAnsi="Calibri"/>
          <w:b/>
          <w:bCs/>
          <w:sz w:val="22"/>
          <w:szCs w:val="22"/>
        </w:rPr>
        <w:t xml:space="preserve">5.5 First line of support.</w:t>
      </w:r>
      <w:r>
        <w:rPr>
          <w:rFonts w:ascii="Calibri" w:cs="Calibri" w:eastAsia="Calibri" w:hAnsi="Calibri"/>
          <w:sz w:val="22"/>
          <w:szCs w:val="22"/>
        </w:rPr>
        <w:t xml:space="preserve"> OBVG provides first-line support for the channel, the deal desk and the PSR, through the personnel named under clause 9, routed through the single Automatum-branded intake in Schedule 3.</w:t>
      </w:r>
    </w:p>
    <w:p>
      <w:pPr>
        <w:spacing w:after="160" w:before="0" w:line="276"/>
        <w:jc w:val="both"/>
      </w:pPr>
      <w:r>
        <w:rPr>
          <w:rFonts w:ascii="Calibri" w:cs="Calibri" w:eastAsia="Calibri" w:hAnsi="Calibri"/>
          <w:b/>
          <w:bCs/>
          <w:sz w:val="22"/>
          <w:szCs w:val="22"/>
        </w:rPr>
        <w:t xml:space="preserve">5.6 Instructions.</w:t>
      </w:r>
      <w:r>
        <w:rPr>
          <w:rFonts w:ascii="Calibri" w:cs="Calibri" w:eastAsia="Calibri" w:hAnsi="Calibri"/>
          <w:sz w:val="22"/>
          <w:szCs w:val="22"/>
        </w:rPr>
        <w:t xml:space="preserve"> OBVG will follow Automatum's reasonable written instructions relating to the Services, except where doing so would breach this Agreement, an AWS Program Term or any law, and will notify Automatum promptly if it believes an instruction would.</w:t>
      </w:r>
    </w:p>
    <w:p>
      <w:pPr>
        <w:spacing w:after="160" w:before="0" w:line="276"/>
        <w:jc w:val="both"/>
      </w:pPr>
      <w:r>
        <w:rPr>
          <w:rFonts w:ascii="Calibri" w:cs="Calibri" w:eastAsia="Calibri" w:hAnsi="Calibri"/>
          <w:b/>
          <w:bCs/>
          <w:sz w:val="22"/>
          <w:szCs w:val="22"/>
        </w:rPr>
        <w:t xml:space="preserve">5.7 Subcontracting.</w:t>
      </w:r>
      <w:r>
        <w:rPr>
          <w:rFonts w:ascii="Calibri" w:cs="Calibri" w:eastAsia="Calibri" w:hAnsi="Calibri"/>
          <w:sz w:val="22"/>
          <w:szCs w:val="22"/>
        </w:rPr>
        <w:t xml:space="preserve"> OBVG may subcontract only to subcontractors Automatum approves in writing, remains fully liable for them, and may not subcontract any role named under clause 9.</w:t>
      </w:r>
    </w:p>
    <w:p>
      <w:pPr>
        <w:pStyle w:val="Heading2"/>
        <w:keepNext/>
        <w:spacing w:after="140" w:before="300"/>
      </w:pPr>
      <w:r>
        <w:rPr>
          <w:rFonts w:ascii="Calibri" w:cs="Calibri" w:eastAsia="Calibri" w:hAnsi="Calibri"/>
          <w:b/>
          <w:bCs/>
          <w:sz w:val="24"/>
          <w:szCs w:val="24"/>
        </w:rPr>
        <w:t xml:space="preserve">6. Automatum Retained Obligations</w:t>
      </w:r>
    </w:p>
    <w:p>
      <w:pPr>
        <w:spacing w:after="160" w:before="0" w:line="276"/>
        <w:jc w:val="both"/>
      </w:pPr>
      <w:r>
        <w:rPr>
          <w:rFonts w:ascii="Calibri" w:cs="Calibri" w:eastAsia="Calibri" w:hAnsi="Calibri"/>
          <w:b/>
          <w:bCs/>
          <w:sz w:val="22"/>
          <w:szCs w:val="22"/>
        </w:rPr>
        <w:t xml:space="preserve">6.1 Listing and seller of record.</w:t>
      </w:r>
      <w:r>
        <w:rPr>
          <w:rFonts w:ascii="Calibri" w:cs="Calibri" w:eastAsia="Calibri" w:hAnsi="Calibri"/>
          <w:sz w:val="22"/>
          <w:szCs w:val="22"/>
        </w:rPr>
        <w:t xml:space="preserve"> Automatum will maintain its AWS Marketplace listing, its seller of record registration, and the AWS Partner Network status and entitlements needed to issue private offers, CPPOs and Selling Authorizations.</w:t>
      </w:r>
    </w:p>
    <w:p>
      <w:pPr>
        <w:spacing w:after="160" w:before="0" w:line="276"/>
        <w:jc w:val="both"/>
      </w:pPr>
      <w:r>
        <w:rPr>
          <w:rFonts w:ascii="Calibri" w:cs="Calibri" w:eastAsia="Calibri" w:hAnsi="Calibri"/>
          <w:b/>
          <w:bCs/>
          <w:sz w:val="22"/>
          <w:szCs w:val="22"/>
        </w:rPr>
        <w:t xml:space="preserve">6.2 AWS relationship.</w:t>
      </w:r>
      <w:r>
        <w:rPr>
          <w:rFonts w:ascii="Calibri" w:cs="Calibri" w:eastAsia="Calibri" w:hAnsi="Calibri"/>
          <w:sz w:val="22"/>
          <w:szCs w:val="22"/>
        </w:rPr>
        <w:t xml:space="preserve"> Automatum is responsible for the AWS relationship for the listing and the Solution, including for obtaining the confirmation in clause 14.2.</w:t>
      </w:r>
    </w:p>
    <w:p>
      <w:pPr>
        <w:spacing w:after="160" w:before="0" w:line="276"/>
        <w:jc w:val="both"/>
      </w:pPr>
      <w:r>
        <w:rPr>
          <w:rFonts w:ascii="Calibri" w:cs="Calibri" w:eastAsia="Calibri" w:hAnsi="Calibri"/>
          <w:b/>
          <w:bCs/>
          <w:sz w:val="22"/>
          <w:szCs w:val="22"/>
        </w:rPr>
        <w:t xml:space="preserve">6.3 Issuance.</w:t>
      </w:r>
      <w:r>
        <w:rPr>
          <w:rFonts w:ascii="Calibri" w:cs="Calibri" w:eastAsia="Calibri" w:hAnsi="Calibri"/>
          <w:sz w:val="22"/>
          <w:szCs w:val="22"/>
        </w:rPr>
        <w:t xml:space="preserve"> Automatum will issue private offers, CPPOs and Selling Authorizations promptly on receiving an Issuance-Ready Package or Selling Authorization request, and within the Automatum leg in Schedule 4.</w:t>
      </w:r>
    </w:p>
    <w:p>
      <w:pPr>
        <w:spacing w:after="160" w:before="0" w:line="276"/>
        <w:jc w:val="both"/>
      </w:pPr>
      <w:r>
        <w:rPr>
          <w:rFonts w:ascii="Calibri" w:cs="Calibri" w:eastAsia="Calibri" w:hAnsi="Calibri"/>
          <w:b/>
          <w:bCs/>
          <w:sz w:val="22"/>
          <w:szCs w:val="22"/>
        </w:rPr>
        <w:t xml:space="preserve">6.4 Client contracting and collection.</w:t>
      </w:r>
      <w:r>
        <w:rPr>
          <w:rFonts w:ascii="Calibri" w:cs="Calibri" w:eastAsia="Calibri" w:hAnsi="Calibri"/>
          <w:sz w:val="22"/>
          <w:szCs w:val="22"/>
        </w:rPr>
        <w:t xml:space="preserve"> Automatum will contract with each Client, invoice the Client Fees and pursue collection under clause 11.</w:t>
      </w:r>
    </w:p>
    <w:p>
      <w:pPr>
        <w:spacing w:after="160" w:before="0" w:line="276"/>
        <w:jc w:val="both"/>
      </w:pPr>
      <w:r>
        <w:rPr>
          <w:rFonts w:ascii="Calibri" w:cs="Calibri" w:eastAsia="Calibri" w:hAnsi="Calibri"/>
          <w:b/>
          <w:bCs/>
          <w:sz w:val="22"/>
          <w:szCs w:val="22"/>
        </w:rPr>
        <w:t xml:space="preserve">6.5 Client Agreement baseline.</w:t>
      </w:r>
      <w:r>
        <w:rPr>
          <w:rFonts w:ascii="Calibri" w:cs="Calibri" w:eastAsia="Calibri" w:hAnsi="Calibri"/>
          <w:sz w:val="22"/>
          <w:szCs w:val="22"/>
        </w:rPr>
        <w:t xml:space="preserve"> Automatum warrants that no Client Agreement for a Registered Client contains, in respect of services OBVG performs, a service level stricter than Schedule 4, a Service Credit percentage or at-risk amount above the caps in clause 8.5, a guaranteed partner number, transaction volume, revenue outcome or activation rate, or a metric definition inconsistent with Schedule 4. Anything agreed beyond this baseline is Automatum's own risk, is excluded from clause 8.4, and does not increase OBVG's obligations.</w:t>
      </w:r>
    </w:p>
    <w:p>
      <w:pPr>
        <w:spacing w:after="160" w:before="0" w:line="276"/>
        <w:jc w:val="both"/>
      </w:pPr>
      <w:r>
        <w:rPr>
          <w:rFonts w:ascii="Calibri" w:cs="Calibri" w:eastAsia="Calibri" w:hAnsi="Calibri"/>
          <w:b/>
          <w:bCs/>
          <w:sz w:val="22"/>
          <w:szCs w:val="22"/>
        </w:rPr>
        <w:t xml:space="preserve">6.6 No onward commitments.</w:t>
      </w:r>
      <w:r>
        <w:rPr>
          <w:rFonts w:ascii="Calibri" w:cs="Calibri" w:eastAsia="Calibri" w:hAnsi="Calibri"/>
          <w:sz w:val="22"/>
          <w:szCs w:val="22"/>
        </w:rPr>
        <w:t xml:space="preserve"> Automatum will make no representation, warranty or commitment to a Client or prospective Client about the Services, the Solution, partner numbers, offer issuance or any metric beyond Schedules 1 and 4, and indemnifies OBVG under clause 20.2 for claims arising from any excess.</w:t>
      </w:r>
    </w:p>
    <w:p>
      <w:pPr>
        <w:spacing w:after="160" w:before="0" w:line="276"/>
        <w:jc w:val="both"/>
      </w:pPr>
      <w:r>
        <w:rPr>
          <w:rFonts w:ascii="Calibri" w:cs="Calibri" w:eastAsia="Calibri" w:hAnsi="Calibri"/>
          <w:b/>
          <w:bCs/>
          <w:sz w:val="22"/>
          <w:szCs w:val="22"/>
        </w:rPr>
        <w:t xml:space="preserve">6.7 Relief Events.</w:t>
      </w:r>
      <w:r>
        <w:rPr>
          <w:rFonts w:ascii="Calibri" w:cs="Calibri" w:eastAsia="Calibri" w:hAnsi="Calibri"/>
          <w:sz w:val="22"/>
          <w:szCs w:val="22"/>
        </w:rPr>
        <w:t xml:space="preserve"> Each of the following is a "Relief Event": Automatum's failure to perform clause 6.1, 6.2 or 6.3; its loss of the listing, seller of record position or AWS Partner Network entitlements; a Registered Client's failure to perform an obligation on which OBVG depends; and any matter in clause 14.3. While a Relief Event continues, OBVG is excused from the affected obligation, the affected service levels do not run, and OBVG Service Revenue continues to accrue. OBVG will notify Automatum promptly and use reasonable efforts to mitigate.</w:t>
      </w:r>
    </w:p>
    <w:p>
      <w:pPr>
        <w:pStyle w:val="Heading2"/>
        <w:keepNext/>
        <w:spacing w:after="140" w:before="300"/>
      </w:pPr>
      <w:r>
        <w:rPr>
          <w:rFonts w:ascii="Calibri" w:cs="Calibri" w:eastAsia="Calibri" w:hAnsi="Calibri"/>
          <w:b/>
          <w:bCs/>
          <w:sz w:val="24"/>
          <w:szCs w:val="24"/>
        </w:rPr>
        <w:t xml:space="preserve">7. White Label and Brand</w:t>
      </w:r>
    </w:p>
    <w:p>
      <w:pPr>
        <w:spacing w:after="160" w:before="0" w:line="276"/>
        <w:jc w:val="both"/>
      </w:pPr>
      <w:r>
        <w:rPr>
          <w:rFonts w:ascii="Calibri" w:cs="Calibri" w:eastAsia="Calibri" w:hAnsi="Calibri"/>
          <w:b/>
          <w:bCs/>
          <w:sz w:val="22"/>
          <w:szCs w:val="22"/>
        </w:rPr>
        <w:t xml:space="preserve">7.1 Brand license.</w:t>
      </w:r>
      <w:r>
        <w:rPr>
          <w:rFonts w:ascii="Calibri" w:cs="Calibri" w:eastAsia="Calibri" w:hAnsi="Calibri"/>
          <w:sz w:val="22"/>
          <w:szCs w:val="22"/>
        </w:rPr>
        <w:t xml:space="preserve"> Automatum grants OBVG a non-exclusive, non-transferable, royalty-free license for the Term and any transition period under clause 24.1 to use the Automatum Brand solely to perform the Services under Schedule 3 and its obligations under clause 24. OBVG acquires no other rights and all goodwill accrues to Automatum.</w:t>
      </w:r>
    </w:p>
    <w:p>
      <w:pPr>
        <w:spacing w:after="160" w:before="0" w:line="276"/>
        <w:jc w:val="both"/>
      </w:pPr>
      <w:r>
        <w:rPr>
          <w:rFonts w:ascii="Calibri" w:cs="Calibri" w:eastAsia="Calibri" w:hAnsi="Calibri"/>
          <w:b/>
          <w:bCs/>
          <w:sz w:val="22"/>
          <w:szCs w:val="22"/>
        </w:rPr>
        <w:t xml:space="preserve">7.2 Delivery under the Automatum Brand.</w:t>
      </w:r>
      <w:r>
        <w:rPr>
          <w:rFonts w:ascii="Calibri" w:cs="Calibri" w:eastAsia="Calibri" w:hAnsi="Calibri"/>
          <w:sz w:val="22"/>
          <w:szCs w:val="22"/>
        </w:rPr>
        <w:t xml:space="preserve"> OBVG will perform all client-facing and partner-facing elements of the Services under the Automatum Brand, using Automatum-supplied email addresses and domains, Automatum-branded documents, portals and correspondence, and the protocol in Schedule 3.</w:t>
      </w:r>
    </w:p>
    <w:p>
      <w:pPr>
        <w:spacing w:after="160" w:before="0" w:line="276"/>
        <w:jc w:val="both"/>
      </w:pPr>
      <w:r>
        <w:rPr>
          <w:rFonts w:ascii="Calibri" w:cs="Calibri" w:eastAsia="Calibri" w:hAnsi="Calibri"/>
          <w:b/>
          <w:bCs/>
          <w:sz w:val="22"/>
          <w:szCs w:val="22"/>
        </w:rPr>
        <w:t xml:space="preserve">7.3 No OBVG branding.</w:t>
      </w:r>
      <w:r>
        <w:rPr>
          <w:rFonts w:ascii="Calibri" w:cs="Calibri" w:eastAsia="Calibri" w:hAnsi="Calibri"/>
          <w:sz w:val="22"/>
          <w:szCs w:val="22"/>
        </w:rPr>
        <w:t xml:space="preserve"> OBVG will not use its own name, logos, marks, domains, email addresses, templates or contact details in any client-facing or partner-facing material, and will not identify itself to a Client or Recruited Partner as the provider of the Services, except under clause 7.5.</w:t>
      </w:r>
    </w:p>
    <w:p>
      <w:pPr>
        <w:spacing w:after="160" w:before="0" w:line="276"/>
        <w:jc w:val="both"/>
      </w:pPr>
      <w:r>
        <w:rPr>
          <w:rFonts w:ascii="Calibri" w:cs="Calibri" w:eastAsia="Calibri" w:hAnsi="Calibri"/>
          <w:b/>
          <w:bCs/>
          <w:sz w:val="22"/>
          <w:szCs w:val="22"/>
        </w:rPr>
        <w:t xml:space="preserve">7.4 No direct client contact.</w:t>
      </w:r>
      <w:r>
        <w:rPr>
          <w:rFonts w:ascii="Calibri" w:cs="Calibri" w:eastAsia="Calibri" w:hAnsi="Calibri"/>
          <w:sz w:val="22"/>
          <w:szCs w:val="22"/>
        </w:rPr>
        <w:t xml:space="preserve"> OBVG will not contact a Registered Client outside the channels and personas in Schedule 3, and will not contact a Registered Client about a dispute between the Parties, including any payment dispute.</w:t>
      </w:r>
    </w:p>
    <w:p>
      <w:pPr>
        <w:spacing w:after="160" w:before="0" w:line="276"/>
        <w:jc w:val="both"/>
      </w:pPr>
      <w:r>
        <w:rPr>
          <w:rFonts w:ascii="Calibri" w:cs="Calibri" w:eastAsia="Calibri" w:hAnsi="Calibri"/>
          <w:b/>
          <w:bCs/>
          <w:sz w:val="22"/>
          <w:szCs w:val="22"/>
        </w:rPr>
        <w:t xml:space="preserve">7.5 Permitted disclosure.</w:t>
      </w:r>
      <w:r>
        <w:rPr>
          <w:rFonts w:ascii="Calibri" w:cs="Calibri" w:eastAsia="Calibri" w:hAnsi="Calibri"/>
          <w:sz w:val="22"/>
          <w:szCs w:val="22"/>
        </w:rPr>
        <w:t xml:space="preserve"> OBVG may disclose its role where required by law, a regulator, an AWS Program Term, or a Client Agreement Automatum has notified to OBVG in writing, giving Automatum reasonable advance notice where it lawfully can.</w:t>
      </w:r>
    </w:p>
    <w:p>
      <w:pPr>
        <w:spacing w:after="160" w:before="0" w:line="276"/>
        <w:jc w:val="both"/>
      </w:pPr>
      <w:r>
        <w:rPr>
          <w:rFonts w:ascii="Calibri" w:cs="Calibri" w:eastAsia="Calibri" w:hAnsi="Calibri"/>
          <w:b/>
          <w:bCs/>
          <w:sz w:val="22"/>
          <w:szCs w:val="22"/>
        </w:rPr>
        <w:t xml:space="preserve">7.6 Employment status.</w:t>
      </w:r>
      <w:r>
        <w:rPr>
          <w:rFonts w:ascii="Calibri" w:cs="Calibri" w:eastAsia="Calibri" w:hAnsi="Calibri"/>
          <w:sz w:val="22"/>
          <w:szCs w:val="22"/>
        </w:rPr>
        <w:t xml:space="preserve"> OBVG is the sole employer of its personnel. Automatum does not direct, supervise or control how they perform the Services. OBVG's personnel will not state or imply that they are employed by Automatum and will comply with Schedule 3 in describing their role. Each Party will implement the measures in Schedule 3 relating to employment status.</w:t>
      </w:r>
    </w:p>
    <w:p>
      <w:pPr>
        <w:spacing w:after="160" w:before="0" w:line="276"/>
        <w:jc w:val="both"/>
      </w:pPr>
      <w:r>
        <w:rPr>
          <w:rFonts w:ascii="Calibri" w:cs="Calibri" w:eastAsia="Calibri" w:hAnsi="Calibri"/>
          <w:b/>
          <w:bCs/>
          <w:sz w:val="22"/>
          <w:szCs w:val="22"/>
        </w:rPr>
        <w:t xml:space="preserve">7.7 No publicity.</w:t>
      </w:r>
      <w:r>
        <w:rPr>
          <w:rFonts w:ascii="Calibri" w:cs="Calibri" w:eastAsia="Calibri" w:hAnsi="Calibri"/>
          <w:sz w:val="22"/>
          <w:szCs w:val="22"/>
        </w:rPr>
        <w:t xml:space="preserve"> Neither Party will refer to the other, to this Agreement, to any Registered Client or to any Recruited Partner in any marketing material, case study, release, website, pitch or public statement without the other's prior written consent.</w:t>
      </w:r>
    </w:p>
    <w:p>
      <w:pPr>
        <w:spacing w:after="160" w:before="0" w:line="276"/>
        <w:jc w:val="both"/>
      </w:pPr>
      <w:r>
        <w:rPr>
          <w:rFonts w:ascii="Calibri" w:cs="Calibri" w:eastAsia="Calibri" w:hAnsi="Calibri"/>
          <w:b/>
          <w:bCs/>
          <w:sz w:val="22"/>
          <w:szCs w:val="22"/>
        </w:rPr>
        <w:t xml:space="preserve">7.8 Automatum's own conduct.</w:t>
      </w:r>
      <w:r>
        <w:rPr>
          <w:rFonts w:ascii="Calibri" w:cs="Calibri" w:eastAsia="Calibri" w:hAnsi="Calibri"/>
          <w:sz w:val="22"/>
          <w:szCs w:val="22"/>
        </w:rPr>
        <w:t xml:space="preserve"> Automatum will not disclose OBVG's role to a Client or Recruited Partner except as required by law, a regulator, an AWS Program Term or a Client Agreement.</w:t>
      </w:r>
    </w:p>
    <w:p>
      <w:pPr>
        <w:pStyle w:val="Heading2"/>
        <w:keepNext/>
        <w:spacing w:after="140" w:before="300"/>
      </w:pPr>
      <w:r>
        <w:rPr>
          <w:rFonts w:ascii="Calibri" w:cs="Calibri" w:eastAsia="Calibri" w:hAnsi="Calibri"/>
          <w:b/>
          <w:bCs/>
          <w:sz w:val="24"/>
          <w:szCs w:val="24"/>
        </w:rPr>
        <w:t xml:space="preserve">8. Service Levels and Service Credits</w:t>
      </w:r>
    </w:p>
    <w:p>
      <w:pPr>
        <w:spacing w:after="160" w:before="0" w:line="276"/>
        <w:jc w:val="both"/>
      </w:pPr>
      <w:r>
        <w:rPr>
          <w:rFonts w:ascii="Calibri" w:cs="Calibri" w:eastAsia="Calibri" w:hAnsi="Calibri"/>
          <w:b/>
          <w:bCs/>
          <w:sz w:val="22"/>
          <w:szCs w:val="22"/>
        </w:rPr>
        <w:t xml:space="preserve">8.1 Service levels.</w:t>
      </w:r>
      <w:r>
        <w:rPr>
          <w:rFonts w:ascii="Calibri" w:cs="Calibri" w:eastAsia="Calibri" w:hAnsi="Calibri"/>
          <w:sz w:val="22"/>
          <w:szCs w:val="22"/>
        </w:rPr>
        <w:t xml:space="preserve"> OBVG will meet the service levels in Schedule 4, measured as Schedule 4 provides.</w:t>
      </w:r>
    </w:p>
    <w:p>
      <w:pPr>
        <w:spacing w:after="160" w:before="0" w:line="276"/>
        <w:jc w:val="both"/>
      </w:pPr>
      <w:r>
        <w:rPr>
          <w:rFonts w:ascii="Calibri" w:cs="Calibri" w:eastAsia="Calibri" w:hAnsi="Calibri"/>
          <w:b/>
          <w:bCs/>
          <w:sz w:val="22"/>
          <w:szCs w:val="22"/>
        </w:rPr>
        <w:t xml:space="preserve">8.2 Split legs.</w:t>
      </w:r>
      <w:r>
        <w:rPr>
          <w:rFonts w:ascii="Calibri" w:cs="Calibri" w:eastAsia="Calibri" w:hAnsi="Calibri"/>
          <w:sz w:val="22"/>
          <w:szCs w:val="22"/>
        </w:rPr>
        <w:t xml:space="preserve"> The deal desk and Selling Authorization service levels are measured in two legs, the OBVG leg and the Automatum leg, as Schedule 4 provides. OBVG is responsible only for the OBVG leg, and a failure of the Automatum leg gives rise to no flow-down under clause 8.4. Where root cause analysis does not establish which leg caused the failure, responsibility is apportioned equally and either Party may escalate under clause 26.1.</w:t>
      </w:r>
    </w:p>
    <w:p>
      <w:pPr>
        <w:spacing w:after="160" w:before="0" w:line="276"/>
        <w:jc w:val="both"/>
      </w:pPr>
      <w:r>
        <w:rPr>
          <w:rFonts w:ascii="Calibri" w:cs="Calibri" w:eastAsia="Calibri" w:hAnsi="Calibri"/>
          <w:b/>
          <w:bCs/>
          <w:sz w:val="22"/>
          <w:szCs w:val="22"/>
        </w:rPr>
        <w:t xml:space="preserve">8.3 Excused events.</w:t>
      </w:r>
      <w:r>
        <w:rPr>
          <w:rFonts w:ascii="Calibri" w:cs="Calibri" w:eastAsia="Calibri" w:hAnsi="Calibri"/>
          <w:sz w:val="22"/>
          <w:szCs w:val="22"/>
        </w:rPr>
        <w:t xml:space="preserve"> A service level does not run, and no failure occurs, to the extent delay is caused by a Relief Event, a Force Majeure Event, an incomplete or non-conforming Deal Desk Request, a Recruited Partner's failure to complete AWS registration, tax, banking or service-linked role requirements, a Registered Client's act or omission, or an act or omission of AWS. A change in OBVG's personnel is not an excused event and service levels continue to run through any replacement under clause 9.</w:t>
      </w:r>
    </w:p>
    <w:p>
      <w:pPr>
        <w:spacing w:after="160" w:before="0" w:line="276"/>
        <w:jc w:val="both"/>
      </w:pPr>
      <w:r>
        <w:rPr>
          <w:rFonts w:ascii="Calibri" w:cs="Calibri" w:eastAsia="Calibri" w:hAnsi="Calibri"/>
          <w:b/>
          <w:bCs/>
          <w:sz w:val="22"/>
          <w:szCs w:val="22"/>
        </w:rPr>
        <w:t xml:space="preserve">8.4 Flow-down of Service Credits.</w:t>
      </w:r>
      <w:r>
        <w:rPr>
          <w:rFonts w:ascii="Calibri" w:cs="Calibri" w:eastAsia="Calibri" w:hAnsi="Calibri"/>
          <w:sz w:val="22"/>
          <w:szCs w:val="22"/>
        </w:rPr>
        <w:t xml:space="preserve"> Where Automatum must give a Registered Client a Service Credit, it may deduct that amount from the next monthly OBVG Service Revenue for that Client, but only where the failure was of the OBVG leg and attributable to OBVG; Automatum actually gave the credit and did not give it ex gratia, as a concession, or in settlement of an unrelated matter without OBVG's prior written consent; Automatum applied every exclusion, cap and excused event available to it; and Automatum notified OBVG of the claim with supporting evidence within 10 Business Days of receiving it and gave OBVG a reasonable opportunity to comment.</w:t>
      </w:r>
    </w:p>
    <w:p>
      <w:pPr>
        <w:spacing w:after="160" w:before="0" w:line="276"/>
        <w:jc w:val="both"/>
      </w:pPr>
      <w:r>
        <w:rPr>
          <w:rFonts w:ascii="Calibri" w:cs="Calibri" w:eastAsia="Calibri" w:hAnsi="Calibri"/>
          <w:b/>
          <w:bCs/>
          <w:sz w:val="22"/>
          <w:szCs w:val="22"/>
        </w:rPr>
        <w:t xml:space="preserve">8.5 Caps on flow-down.</w:t>
      </w:r>
      <w:r>
        <w:rPr>
          <w:rFonts w:ascii="Calibri" w:cs="Calibri" w:eastAsia="Calibri" w:hAnsi="Calibri"/>
          <w:sz w:val="22"/>
          <w:szCs w:val="22"/>
        </w:rPr>
        <w:t xml:space="preserve"> Deductions under clause 8.4 are capped, per Registered Client, at the lower of the credit actually given and 10% of that Client's gross monthly Client Fees per Engagement Month, rising to 20% in a month in which two or more service levels are missed; and at 15% of that Client's OBVG Service Revenue per Engagement Year.</w:t>
      </w:r>
    </w:p>
    <w:p>
      <w:pPr>
        <w:spacing w:after="160" w:before="0" w:line="276"/>
        <w:jc w:val="both"/>
      </w:pPr>
      <w:r>
        <w:rPr>
          <w:rFonts w:ascii="Calibri" w:cs="Calibri" w:eastAsia="Calibri" w:hAnsi="Calibri"/>
          <w:b/>
          <w:bCs/>
          <w:sz w:val="22"/>
          <w:szCs w:val="22"/>
        </w:rPr>
        <w:t xml:space="preserve">8.6 Sole financial remedy.</w:t>
      </w:r>
      <w:r>
        <w:rPr>
          <w:rFonts w:ascii="Calibri" w:cs="Calibri" w:eastAsia="Calibri" w:hAnsi="Calibri"/>
          <w:sz w:val="22"/>
          <w:szCs w:val="22"/>
        </w:rPr>
        <w:t xml:space="preserve"> Subject to clause 8.7, clause 8.4 is Automatum's sole financial remedy for a failure to meet a service level.</w:t>
      </w:r>
    </w:p>
    <w:p>
      <w:pPr>
        <w:spacing w:after="160" w:before="0" w:line="276"/>
        <w:jc w:val="both"/>
      </w:pPr>
      <w:r>
        <w:rPr>
          <w:rFonts w:ascii="Calibri" w:cs="Calibri" w:eastAsia="Calibri" w:hAnsi="Calibri"/>
          <w:b/>
          <w:bCs/>
          <w:sz w:val="22"/>
          <w:szCs w:val="22"/>
        </w:rPr>
        <w:t xml:space="preserve">8.7 Chronic Failure.</w:t>
      </w:r>
      <w:r>
        <w:rPr>
          <w:rFonts w:ascii="Calibri" w:cs="Calibri" w:eastAsia="Calibri" w:hAnsi="Calibri"/>
          <w:sz w:val="22"/>
          <w:szCs w:val="22"/>
        </w:rPr>
        <w:t xml:space="preserve"> "Chronic Failure" means 3 failures of the same service level in any rolling 3 Engagement Months, or 6 failures across any service levels in an Engagement Year, for the same Registered Client and attributable to OBVG. Automatum may then require a root cause analysis within 5 Business Days, a written remediation plan within 10 Business Days, and replacement of the personnel named under clause 9 for that Engagement; and if the Chronic Failure is not remedied within 30 days of the remediation plan, may terminate the affected Engagement Order under clause 23.4 with transition assistance at OBVG's cost.</w:t>
      </w:r>
    </w:p>
    <w:p>
      <w:pPr>
        <w:pStyle w:val="Heading2"/>
        <w:keepNext/>
        <w:spacing w:after="140" w:before="300"/>
      </w:pPr>
      <w:r>
        <w:rPr>
          <w:rFonts w:ascii="Calibri" w:cs="Calibri" w:eastAsia="Calibri" w:hAnsi="Calibri"/>
          <w:b/>
          <w:bCs/>
          <w:sz w:val="24"/>
          <w:szCs w:val="24"/>
        </w:rPr>
        <w:t xml:space="preserve">9. Key Personnel</w:t>
      </w:r>
    </w:p>
    <w:p>
      <w:pPr>
        <w:spacing w:after="160" w:before="0" w:line="276"/>
        <w:jc w:val="both"/>
      </w:pPr>
      <w:r>
        <w:rPr>
          <w:rFonts w:ascii="Calibri" w:cs="Calibri" w:eastAsia="Calibri" w:hAnsi="Calibri"/>
          <w:b/>
          <w:bCs/>
          <w:sz w:val="22"/>
          <w:szCs w:val="22"/>
        </w:rPr>
        <w:t xml:space="preserve">9.1 Named roles.</w:t>
      </w:r>
      <w:r>
        <w:rPr>
          <w:rFonts w:ascii="Calibri" w:cs="Calibri" w:eastAsia="Calibri" w:hAnsi="Calibri"/>
          <w:sz w:val="22"/>
          <w:szCs w:val="22"/>
        </w:rPr>
        <w:t xml:space="preserve"> Each Engagement Order names a Channel Manager, a Backup Channel Manager and, at Tier 3, a Deal Desk Owner with a stated coverage window, each with the committed hours and coverage window in Schedule 7.</w:t>
      </w:r>
    </w:p>
    <w:p>
      <w:pPr>
        <w:spacing w:after="160" w:before="0" w:line="276"/>
        <w:jc w:val="both"/>
      </w:pPr>
      <w:r>
        <w:rPr>
          <w:rFonts w:ascii="Calibri" w:cs="Calibri" w:eastAsia="Calibri" w:hAnsi="Calibri"/>
          <w:b/>
          <w:bCs/>
          <w:sz w:val="22"/>
          <w:szCs w:val="22"/>
        </w:rPr>
        <w:t xml:space="preserve">9.2 Approval.</w:t>
      </w:r>
      <w:r>
        <w:rPr>
          <w:rFonts w:ascii="Calibri" w:cs="Calibri" w:eastAsia="Calibri" w:hAnsi="Calibri"/>
          <w:sz w:val="22"/>
          <w:szCs w:val="22"/>
        </w:rPr>
        <w:t xml:space="preserve"> Initial appointees are subject to Automatum's approval, not to be unreasonably withheld, conditioned or delayed, and deemed given if Automatum does not object within 5 Business Days of receiving the appointee's details.</w:t>
      </w:r>
    </w:p>
    <w:p>
      <w:pPr>
        <w:spacing w:after="160" w:before="0" w:line="276"/>
        <w:jc w:val="both"/>
      </w:pPr>
      <w:r>
        <w:rPr>
          <w:rFonts w:ascii="Calibri" w:cs="Calibri" w:eastAsia="Calibri" w:hAnsi="Calibri"/>
          <w:b/>
          <w:bCs/>
          <w:sz w:val="22"/>
          <w:szCs w:val="22"/>
        </w:rPr>
        <w:t xml:space="preserve">9.3 Minimum tenure.</w:t>
      </w:r>
      <w:r>
        <w:rPr>
          <w:rFonts w:ascii="Calibri" w:cs="Calibri" w:eastAsia="Calibri" w:hAnsi="Calibri"/>
          <w:sz w:val="22"/>
          <w:szCs w:val="22"/>
        </w:rPr>
        <w:t xml:space="preserve"> OBVG will not voluntarily remove or reassign a named person for 12 months or the remainder of the Engagement, whichever is shorter, unless the person resigns, dies, becomes incapacitated, takes statutory leave, is dismissed for cause, or is removed at Automatum's request.</w:t>
      </w:r>
    </w:p>
    <w:p>
      <w:pPr>
        <w:spacing w:after="160" w:before="0" w:line="276"/>
        <w:jc w:val="both"/>
      </w:pPr>
      <w:r>
        <w:rPr>
          <w:rFonts w:ascii="Calibri" w:cs="Calibri" w:eastAsia="Calibri" w:hAnsi="Calibri"/>
          <w:b/>
          <w:bCs/>
          <w:sz w:val="22"/>
          <w:szCs w:val="22"/>
        </w:rPr>
        <w:t xml:space="preserve">9.4 Replacement.</w:t>
      </w:r>
      <w:r>
        <w:rPr>
          <w:rFonts w:ascii="Calibri" w:cs="Calibri" w:eastAsia="Calibri" w:hAnsi="Calibri"/>
          <w:sz w:val="22"/>
          <w:szCs w:val="22"/>
        </w:rPr>
        <w:t xml:space="preserve"> OBVG will notify Automatum within 2 Business Days of becoming aware that a named person will cease in the role. The Backup Channel Manager assumes it immediately. OBVG will propose a replacement of equivalent or greater experience within 10 Business Days and provide a 10 Business Day handover overlap at its own cost. Clause 8.3 applies throughout.</w:t>
      </w:r>
    </w:p>
    <w:p>
      <w:pPr>
        <w:spacing w:after="160" w:before="0" w:line="276"/>
        <w:jc w:val="both"/>
      </w:pPr>
      <w:r>
        <w:rPr>
          <w:rFonts w:ascii="Calibri" w:cs="Calibri" w:eastAsia="Calibri" w:hAnsi="Calibri"/>
          <w:b/>
          <w:bCs/>
          <w:sz w:val="22"/>
          <w:szCs w:val="22"/>
        </w:rPr>
        <w:t xml:space="preserve">9.5 Removal.</w:t>
      </w:r>
      <w:r>
        <w:rPr>
          <w:rFonts w:ascii="Calibri" w:cs="Calibri" w:eastAsia="Calibri" w:hAnsi="Calibri"/>
          <w:sz w:val="22"/>
          <w:szCs w:val="22"/>
        </w:rPr>
        <w:t xml:space="preserve"> Automatum may require removal of a named person from an Engagement for material underperformance, misconduct, breach of Schedule 3, or repeated attributable service level failures, and replacement is at OBVG's cost. A removal request does not direct OBVG to dismiss or discipline the person, and OBVG remains solely responsible for all employment decisions.</w:t>
      </w:r>
    </w:p>
    <w:p>
      <w:pPr>
        <w:spacing w:after="160" w:before="0" w:line="276"/>
        <w:jc w:val="both"/>
      </w:pPr>
      <w:r>
        <w:rPr>
          <w:rFonts w:ascii="Calibri" w:cs="Calibri" w:eastAsia="Calibri" w:hAnsi="Calibri"/>
          <w:b/>
          <w:bCs/>
          <w:sz w:val="22"/>
          <w:szCs w:val="22"/>
        </w:rPr>
        <w:t xml:space="preserve">9.6 No dedication.</w:t>
      </w:r>
      <w:r>
        <w:rPr>
          <w:rFonts w:ascii="Calibri" w:cs="Calibri" w:eastAsia="Calibri" w:hAnsi="Calibri"/>
          <w:sz w:val="22"/>
          <w:szCs w:val="22"/>
        </w:rPr>
        <w:t xml:space="preserve"> Named personnel are assigned on a shared service basis and are not exclusively dedicated unless the Engagement Order provides otherwise.</w:t>
      </w:r>
    </w:p>
    <w:p>
      <w:pPr>
        <w:spacing w:after="160" w:before="0" w:line="276"/>
        <w:jc w:val="both"/>
      </w:pPr>
      <w:r>
        <w:rPr>
          <w:rFonts w:ascii="Calibri" w:cs="Calibri" w:eastAsia="Calibri" w:hAnsi="Calibri"/>
          <w:b/>
          <w:bCs/>
          <w:sz w:val="22"/>
          <w:szCs w:val="22"/>
        </w:rPr>
        <w:t xml:space="preserve">9.7 Capacity ratios.</w:t>
      </w:r>
      <w:r>
        <w:rPr>
          <w:rFonts w:ascii="Calibri" w:cs="Calibri" w:eastAsia="Calibri" w:hAnsi="Calibri"/>
          <w:sz w:val="22"/>
          <w:szCs w:val="22"/>
        </w:rPr>
        <w:t xml:space="preserve"> OBVG will not exceed the capacity ratios in Schedule 7 paragraph 2. Exceeding a ratio is a breach whether or not a service level has been missed, and Automatum may require a remediation plan under clause 8.7 on that basis alone.</w:t>
      </w:r>
    </w:p>
    <w:p>
      <w:pPr>
        <w:spacing w:after="160" w:before="0" w:line="276"/>
        <w:jc w:val="both"/>
      </w:pPr>
      <w:r>
        <w:rPr>
          <w:rFonts w:ascii="Calibri" w:cs="Calibri" w:eastAsia="Calibri" w:hAnsi="Calibri"/>
          <w:b/>
          <w:bCs/>
          <w:sz w:val="22"/>
          <w:szCs w:val="22"/>
        </w:rPr>
        <w:t xml:space="preserve">9.8 Succession.</w:t>
      </w:r>
      <w:r>
        <w:rPr>
          <w:rFonts w:ascii="Calibri" w:cs="Calibri" w:eastAsia="Calibri" w:hAnsi="Calibri"/>
          <w:sz w:val="22"/>
          <w:szCs w:val="22"/>
        </w:rPr>
        <w:t xml:space="preserve"> OBVG will maintain a documented succession plan for each named role, cross-train the Backup Channel Manager, and ensure client and partner knowledge is recorded in the PSR rather than held only by individuals.</w:t>
      </w:r>
    </w:p>
    <w:p>
      <w:pPr>
        <w:pStyle w:val="Heading2"/>
        <w:keepNext/>
        <w:spacing w:after="140" w:before="300"/>
      </w:pPr>
      <w:r>
        <w:rPr>
          <w:rFonts w:ascii="Calibri" w:cs="Calibri" w:eastAsia="Calibri" w:hAnsi="Calibri"/>
          <w:b/>
          <w:bCs/>
          <w:sz w:val="24"/>
          <w:szCs w:val="24"/>
        </w:rPr>
        <w:t xml:space="preserve">10. Partner System of Record</w:t>
      </w:r>
    </w:p>
    <w:p>
      <w:pPr>
        <w:spacing w:after="160" w:before="0" w:line="276"/>
        <w:jc w:val="both"/>
      </w:pPr>
      <w:r>
        <w:rPr>
          <w:rFonts w:ascii="Calibri" w:cs="Calibri" w:eastAsia="Calibri" w:hAnsi="Calibri"/>
          <w:b/>
          <w:bCs/>
          <w:sz w:val="22"/>
          <w:szCs w:val="22"/>
        </w:rPr>
        <w:t xml:space="preserve">10.1 Rights warranty.</w:t>
      </w:r>
      <w:r>
        <w:rPr>
          <w:rFonts w:ascii="Calibri" w:cs="Calibri" w:eastAsia="Calibri" w:hAnsi="Calibri"/>
          <w:sz w:val="22"/>
          <w:szCs w:val="22"/>
        </w:rPr>
        <w:t xml:space="preserve"> OBVG warrants that it holds all rights needed to provide and operate the PSR under this Agreement, including to present it under the Automatum Brand and to grant the access and licenses in this clause, and that its own license from the PSR vendor runs beyond the expiry of the longest Engagement Order then in effect plus the transition period in clause 24.1.</w:t>
      </w:r>
    </w:p>
    <w:p>
      <w:pPr>
        <w:spacing w:after="160" w:before="0" w:line="276"/>
        <w:jc w:val="both"/>
      </w:pPr>
      <w:r>
        <w:rPr>
          <w:rFonts w:ascii="Calibri" w:cs="Calibri" w:eastAsia="Calibri" w:hAnsi="Calibri"/>
          <w:b/>
          <w:bCs/>
          <w:sz w:val="22"/>
          <w:szCs w:val="22"/>
        </w:rPr>
        <w:t xml:space="preserve">10.2 White label configuration.</w:t>
      </w:r>
      <w:r>
        <w:rPr>
          <w:rFonts w:ascii="Calibri" w:cs="Calibri" w:eastAsia="Calibri" w:hAnsi="Calibri"/>
          <w:sz w:val="22"/>
          <w:szCs w:val="22"/>
        </w:rPr>
        <w:t xml:space="preserve"> Each Registered Client's tenant is configured under the Automatum Brand, with no PSR vendor or OBVG branding visible to the Client or any Recruited Partner, except where the vendor's license makes removal impossible, in which case OBVG will notify Automatum before the tenant goes live.</w:t>
      </w:r>
    </w:p>
    <w:p>
      <w:pPr>
        <w:spacing w:after="160" w:before="0" w:line="276"/>
        <w:jc w:val="both"/>
      </w:pPr>
      <w:r>
        <w:rPr>
          <w:rFonts w:ascii="Calibri" w:cs="Calibri" w:eastAsia="Calibri" w:hAnsi="Calibri"/>
          <w:b/>
          <w:bCs/>
          <w:sz w:val="22"/>
          <w:szCs w:val="22"/>
        </w:rPr>
        <w:t xml:space="preserve">10.3 Data ownership and permitted use.</w:t>
      </w:r>
      <w:r>
        <w:rPr>
          <w:rFonts w:ascii="Calibri" w:cs="Calibri" w:eastAsia="Calibri" w:hAnsi="Calibri"/>
          <w:sz w:val="22"/>
          <w:szCs w:val="22"/>
        </w:rPr>
        <w:t xml:space="preserve"> Client Data is owned by the Registered Client it relates to and licensed to Automatum under that Client Agreement. OBVG may process it only to deliver the Services for that Client, and will not use it, identifiable or aggregated, for benchmarking, product development, its own channel business, or any other OBVG client.</w:t>
      </w:r>
    </w:p>
    <w:p>
      <w:pPr>
        <w:spacing w:after="160" w:before="0" w:line="276"/>
        <w:jc w:val="both"/>
      </w:pPr>
      <w:r>
        <w:rPr>
          <w:rFonts w:ascii="Calibri" w:cs="Calibri" w:eastAsia="Calibri" w:hAnsi="Calibri"/>
          <w:b/>
          <w:bCs/>
          <w:sz w:val="22"/>
          <w:szCs w:val="22"/>
        </w:rPr>
        <w:t xml:space="preserve">10.4 Standing data replica.</w:t>
      </w:r>
      <w:r>
        <w:rPr>
          <w:rFonts w:ascii="Calibri" w:cs="Calibri" w:eastAsia="Calibri" w:hAnsi="Calibri"/>
          <w:sz w:val="22"/>
          <w:szCs w:val="22"/>
        </w:rPr>
        <w:t xml:space="preserve"> OBVG will export Client Data to storage Automatum controls, in the documented schema in Schedule 5, daily for transactional records and monthly as a full snapshot. The Parties will test a restore quarterly and reconcile record counts.</w:t>
      </w:r>
    </w:p>
    <w:p>
      <w:pPr>
        <w:spacing w:after="160" w:before="0" w:line="276"/>
        <w:jc w:val="both"/>
      </w:pPr>
      <w:r>
        <w:rPr>
          <w:rFonts w:ascii="Calibri" w:cs="Calibri" w:eastAsia="Calibri" w:hAnsi="Calibri"/>
          <w:b/>
          <w:bCs/>
          <w:sz w:val="22"/>
          <w:szCs w:val="22"/>
        </w:rPr>
        <w:t xml:space="preserve">10.5 Audit record integrity.</w:t>
      </w:r>
      <w:r>
        <w:rPr>
          <w:rFonts w:ascii="Calibri" w:cs="Calibri" w:eastAsia="Calibri" w:hAnsi="Calibri"/>
          <w:sz w:val="22"/>
          <w:szCs w:val="22"/>
        </w:rPr>
        <w:t xml:space="preserve"> OBVG will maintain an append-only event log of the events constituting each metric in Schedule 4, retain it for the Term plus 7 years, and make it available to Automatum, a Registered Client and their auditors on reasonable notice. This obligation survives termination.</w:t>
      </w:r>
    </w:p>
    <w:p>
      <w:pPr>
        <w:spacing w:after="160" w:before="0" w:line="276"/>
        <w:jc w:val="both"/>
      </w:pPr>
      <w:r>
        <w:rPr>
          <w:rFonts w:ascii="Calibri" w:cs="Calibri" w:eastAsia="Calibri" w:hAnsi="Calibri"/>
          <w:b/>
          <w:bCs/>
          <w:sz w:val="22"/>
          <w:szCs w:val="22"/>
        </w:rPr>
        <w:t xml:space="preserve">10.6 Administrative access.</w:t>
      </w:r>
      <w:r>
        <w:rPr>
          <w:rFonts w:ascii="Calibri" w:cs="Calibri" w:eastAsia="Calibri" w:hAnsi="Calibri"/>
          <w:sz w:val="22"/>
          <w:szCs w:val="22"/>
        </w:rPr>
        <w:t xml:space="preserve"> Automatum holds administrative access to each Registered Client's tenant throughout the Engagement.</w:t>
      </w:r>
    </w:p>
    <w:p>
      <w:pPr>
        <w:spacing w:after="160" w:before="0" w:line="276"/>
        <w:jc w:val="both"/>
      </w:pPr>
      <w:r>
        <w:rPr>
          <w:rFonts w:ascii="Calibri" w:cs="Calibri" w:eastAsia="Calibri" w:hAnsi="Calibri"/>
          <w:b/>
          <w:bCs/>
          <w:sz w:val="22"/>
          <w:szCs w:val="22"/>
        </w:rPr>
        <w:t xml:space="preserve">10.7 Vendor continuity.</w:t>
      </w:r>
      <w:r>
        <w:rPr>
          <w:rFonts w:ascii="Calibri" w:cs="Calibri" w:eastAsia="Calibri" w:hAnsi="Calibri"/>
          <w:sz w:val="22"/>
          <w:szCs w:val="22"/>
        </w:rPr>
        <w:t xml:space="preserve"> OBVG will procure and maintain from the PSR vendor a written undertaking in the form of Schedule 5 Part D, under which on OBVG's insolvency, cessation of business, or termination of this Agreement for OBVG's breach, the vendor will contract directly with Automatum or its nominee for the remainder of the affected Engagement Orders plus the transition period, at the same or benchmarked rates, with tenant data intact. This is a condition to OBVG's first Engagement Order. If the vendor will not give it, OBVG will notify Automatum before the first Engagement Order is executed, and Automatum may proceed, decline, or require an alternative PSR.</w:t>
      </w:r>
    </w:p>
    <w:p>
      <w:pPr>
        <w:spacing w:after="160" w:before="0" w:line="276"/>
        <w:jc w:val="both"/>
      </w:pPr>
      <w:r>
        <w:rPr>
          <w:rFonts w:ascii="Calibri" w:cs="Calibri" w:eastAsia="Calibri" w:hAnsi="Calibri"/>
          <w:b/>
          <w:bCs/>
          <w:sz w:val="22"/>
          <w:szCs w:val="22"/>
        </w:rPr>
        <w:t xml:space="preserve">10.8 Step-in.</w:t>
      </w:r>
      <w:r>
        <w:rPr>
          <w:rFonts w:ascii="Calibri" w:cs="Calibri" w:eastAsia="Calibri" w:hAnsi="Calibri"/>
          <w:sz w:val="22"/>
          <w:szCs w:val="22"/>
        </w:rPr>
        <w:t xml:space="preserve"> Automatum may step in on a Chronic Failure, an insolvency event affecting OBVG, a material service failure threatening a Registered Client's service levels, or an AWS compliance event. OBVG will then grant Automatum and any nominee access, credentials and administrative rights to the PSR and a royalty-free license to the OBVG Materials for the remainder of the affected Engagement Orders plus the transition period. Step-in does not relieve OBVG of liability for any earlier period. Automatum will step out on 30 days' notice once the trigger is remedied, on an agreed plan.</w:t>
      </w:r>
    </w:p>
    <w:p>
      <w:pPr>
        <w:spacing w:after="160" w:before="0" w:line="276"/>
        <w:jc w:val="both"/>
      </w:pPr>
      <w:r>
        <w:rPr>
          <w:rFonts w:ascii="Calibri" w:cs="Calibri" w:eastAsia="Calibri" w:hAnsi="Calibri"/>
          <w:b/>
          <w:bCs/>
          <w:sz w:val="22"/>
          <w:szCs w:val="22"/>
        </w:rPr>
        <w:t xml:space="preserve">10.9 Insolvency.</w:t>
      </w:r>
      <w:r>
        <w:rPr>
          <w:rFonts w:ascii="Calibri" w:cs="Calibri" w:eastAsia="Calibri" w:hAnsi="Calibri"/>
          <w:sz w:val="22"/>
          <w:szCs w:val="22"/>
        </w:rPr>
        <w:t xml:space="preserve"> The rights and licenses under clauses 10.7 and 10.8 are licenses of intellectual property for the purposes of section 365(n) of the United States Bankruptcy Code, and Automatum may elect to retain its rights under that section. Neither Party will assert that those rights terminate automatically on the other's insolvency.</w:t>
      </w:r>
    </w:p>
    <w:p>
      <w:pPr>
        <w:pStyle w:val="Heading2"/>
        <w:keepNext/>
        <w:spacing w:after="140" w:before="300"/>
      </w:pPr>
      <w:r>
        <w:rPr>
          <w:rFonts w:ascii="Calibri" w:cs="Calibri" w:eastAsia="Calibri" w:hAnsi="Calibri"/>
          <w:b/>
          <w:bCs/>
          <w:sz w:val="24"/>
          <w:szCs w:val="24"/>
        </w:rPr>
        <w:t xml:space="preserve">11. Fees, Invoicing and Payment</w:t>
      </w:r>
    </w:p>
    <w:p>
      <w:pPr>
        <w:spacing w:after="160" w:before="0" w:line="276"/>
        <w:jc w:val="both"/>
      </w:pPr>
      <w:r>
        <w:rPr>
          <w:rFonts w:ascii="Calibri" w:cs="Calibri" w:eastAsia="Calibri" w:hAnsi="Calibri"/>
          <w:b/>
          <w:bCs/>
          <w:sz w:val="22"/>
          <w:szCs w:val="22"/>
        </w:rPr>
        <w:t xml:space="preserve">11.1 Division of Collected Client Fees.</w:t>
      </w:r>
      <w:r>
        <w:rPr>
          <w:rFonts w:ascii="Calibri" w:cs="Calibri" w:eastAsia="Calibri" w:hAnsi="Calibri"/>
          <w:sz w:val="22"/>
          <w:szCs w:val="22"/>
        </w:rPr>
        <w:t xml:space="preserve"> For each Engagement Year the Collected Client Fees divide into Platform Revenue and Service Revenue. Platform Revenue of $9,999 is allocated to Automatum regardless of Client Status. Service Revenue divides by Client Status:</w:t>
      </w:r>
    </w:p>
    <w:p>
      <w:pPr>
        <w:spacing w:after="80" w:before="60" w:line="276"/>
        <w:ind w:left="780" w:hanging="360"/>
      </w:pPr>
      <w:r>
        <w:rPr>
          <w:rFonts w:ascii="Calibri" w:cs="Calibri" w:eastAsia="Calibri" w:hAnsi="Calibri"/>
          <w:sz w:val="22"/>
          <w:szCs w:val="22"/>
        </w:rPr>
        <w:t xml:space="preserve">a.	</w:t>
      </w:r>
      <w:r>
        <w:rPr>
          <w:rFonts w:ascii="Calibri" w:cs="Calibri" w:eastAsia="Calibri" w:hAnsi="Calibri"/>
          <w:b/>
          <w:bCs/>
          <w:sz w:val="22"/>
          <w:szCs w:val="22"/>
        </w:rPr>
        <w:t xml:space="preserve">Net New Client</w:t>
      </w:r>
      <w:r>
        <w:rPr>
          <w:rFonts w:ascii="Calibri" w:cs="Calibri" w:eastAsia="Calibri" w:hAnsi="Calibri"/>
          <w:sz w:val="22"/>
          <w:szCs w:val="22"/>
        </w:rPr>
        <w:t xml:space="preserve"> - the Service Revenue is allocated 100% to OBVG.</w:t>
      </w:r>
    </w:p>
    <w:p>
      <w:pPr>
        <w:spacing w:after="80" w:before="60" w:line="276"/>
        <w:ind w:left="780" w:hanging="360"/>
      </w:pPr>
      <w:r>
        <w:rPr>
          <w:rFonts w:ascii="Calibri" w:cs="Calibri" w:eastAsia="Calibri" w:hAnsi="Calibri"/>
          <w:sz w:val="22"/>
          <w:szCs w:val="22"/>
        </w:rPr>
        <w:t xml:space="preserve">b.	</w:t>
      </w:r>
      <w:r>
        <w:rPr>
          <w:rFonts w:ascii="Calibri" w:cs="Calibri" w:eastAsia="Calibri" w:hAnsi="Calibri"/>
          <w:b/>
          <w:bCs/>
          <w:sz w:val="22"/>
          <w:szCs w:val="22"/>
        </w:rPr>
        <w:t xml:space="preserve">Existing Automatum Client</w:t>
      </w:r>
      <w:r>
        <w:rPr>
          <w:rFonts w:ascii="Calibri" w:cs="Calibri" w:eastAsia="Calibri" w:hAnsi="Calibri"/>
          <w:sz w:val="22"/>
          <w:szCs w:val="22"/>
        </w:rPr>
        <w:t xml:space="preserve"> - the Client continues to pay the Platform Revenue under its existing subscription, which is unchanged, and the Service Revenue is allocated 75% to OBVG and 25% to Automatum.</w:t>
      </w:r>
    </w:p>
    <w:p>
      <w:pPr>
        <w:spacing w:after="160" w:before="0" w:line="276"/>
        <w:jc w:val="both"/>
      </w:pPr>
      <w:r>
        <w:rPr>
          <w:rFonts w:ascii="Calibri" w:cs="Calibri" w:eastAsia="Calibri" w:hAnsi="Calibri"/>
          <w:sz w:val="22"/>
          <w:szCs w:val="22"/>
        </w:rPr>
        <w:t xml:space="preserve">Client Fees for a Tier do not vary with Client Status. Schedule 2 applies.</w:t>
      </w:r>
    </w:p>
    <w:p>
      <w:pPr>
        <w:spacing w:after="160" w:before="0" w:line="276"/>
        <w:jc w:val="both"/>
      </w:pPr>
      <w:r>
        <w:rPr>
          <w:rFonts w:ascii="Calibri" w:cs="Calibri" w:eastAsia="Calibri" w:hAnsi="Calibri"/>
          <w:b/>
          <w:bCs/>
          <w:sz w:val="22"/>
          <w:szCs w:val="22"/>
        </w:rPr>
        <w:t xml:space="preserve">11.2 Accrual.</w:t>
      </w:r>
      <w:r>
        <w:rPr>
          <w:rFonts w:ascii="Calibri" w:cs="Calibri" w:eastAsia="Calibri" w:hAnsi="Calibri"/>
          <w:sz w:val="22"/>
          <w:szCs w:val="22"/>
        </w:rPr>
        <w:t xml:space="preserve"> Platform Revenue accrues pro rata across the 12 Engagement Months of an Engagement Year at $833.25 per Engagement Month, and is not recovered from Collected Client Fees in priority to OBVG Service Revenue. Each Party's share of Service Revenue accrues monthly at one twelfth of its annual share.</w:t>
      </w:r>
    </w:p>
    <w:p>
      <w:pPr>
        <w:spacing w:after="160" w:before="0" w:line="276"/>
        <w:jc w:val="both"/>
      </w:pPr>
      <w:r>
        <w:rPr>
          <w:rFonts w:ascii="Calibri" w:cs="Calibri" w:eastAsia="Calibri" w:hAnsi="Calibri"/>
          <w:b/>
          <w:bCs/>
          <w:sz w:val="22"/>
          <w:szCs w:val="22"/>
        </w:rPr>
        <w:t xml:space="preserve">11.3 Invoicing.</w:t>
      </w:r>
      <w:r>
        <w:rPr>
          <w:rFonts w:ascii="Calibri" w:cs="Calibri" w:eastAsia="Calibri" w:hAnsi="Calibri"/>
          <w:sz w:val="22"/>
          <w:szCs w:val="22"/>
        </w:rPr>
        <w:t xml:space="preserve"> OBVG will invoice Automatum monthly in arrears for the OBVG Service Revenue accrued in the preceding Engagement Month, with any amount payable under Schedule 2 for a change in Tier.</w:t>
      </w:r>
    </w:p>
    <w:p>
      <w:pPr>
        <w:spacing w:after="160" w:before="0" w:line="276"/>
        <w:jc w:val="both"/>
      </w:pPr>
      <w:r>
        <w:rPr>
          <w:rFonts w:ascii="Calibri" w:cs="Calibri" w:eastAsia="Calibri" w:hAnsi="Calibri"/>
          <w:b/>
          <w:bCs/>
          <w:sz w:val="22"/>
          <w:szCs w:val="22"/>
        </w:rPr>
        <w:t xml:space="preserve">11.4 Payment.</w:t>
      </w:r>
      <w:r>
        <w:rPr>
          <w:rFonts w:ascii="Calibri" w:cs="Calibri" w:eastAsia="Calibri" w:hAnsi="Calibri"/>
          <w:sz w:val="22"/>
          <w:szCs w:val="22"/>
        </w:rPr>
        <w:t xml:space="preserve"> Automatum will pay each undisputed invoice within 10 Business Days of receiving the corresponding Client payment, and in any event within 60 days of the invoice date whether or not the Client has paid. The 60-day longstop does not apply where the Client has entered an insolvency process, or is withholding payment because of a dispute caused by OBVG's performance, in which case only the disputed portion may be withheld and only until resolved.</w:t>
      </w:r>
    </w:p>
    <w:p>
      <w:pPr>
        <w:spacing w:after="160" w:before="0" w:line="276"/>
        <w:jc w:val="both"/>
      </w:pPr>
      <w:r>
        <w:rPr>
          <w:rFonts w:ascii="Calibri" w:cs="Calibri" w:eastAsia="Calibri" w:hAnsi="Calibri"/>
          <w:b/>
          <w:bCs/>
          <w:sz w:val="22"/>
          <w:szCs w:val="22"/>
        </w:rPr>
        <w:t xml:space="preserve">11.5 Automatum's collection obligations.</w:t>
      </w:r>
      <w:r>
        <w:rPr>
          <w:rFonts w:ascii="Calibri" w:cs="Calibri" w:eastAsia="Calibri" w:hAnsi="Calibri"/>
          <w:sz w:val="22"/>
          <w:szCs w:val="22"/>
        </w:rPr>
        <w:t xml:space="preserve"> Automatum will invoice each Registered Client within 5 Business Days of the due date under the Client Agreement, pursue collection diligently, and give OBVG a monthly statement showing for each Registered Client the Client Status, Client Fees invoiced, amounts collected, Platform Revenue accrued and each Party's share of Service Revenue accrued.</w:t>
      </w:r>
    </w:p>
    <w:p>
      <w:pPr>
        <w:spacing w:after="160" w:before="0" w:line="276"/>
        <w:jc w:val="both"/>
      </w:pPr>
      <w:r>
        <w:rPr>
          <w:rFonts w:ascii="Calibri" w:cs="Calibri" w:eastAsia="Calibri" w:hAnsi="Calibri"/>
          <w:b/>
          <w:bCs/>
          <w:sz w:val="22"/>
          <w:szCs w:val="22"/>
        </w:rPr>
        <w:t xml:space="preserve">11.6 No unilateral concessions.</w:t>
      </w:r>
      <w:r>
        <w:rPr>
          <w:rFonts w:ascii="Calibri" w:cs="Calibri" w:eastAsia="Calibri" w:hAnsi="Calibri"/>
          <w:sz w:val="22"/>
          <w:szCs w:val="22"/>
        </w:rPr>
        <w:t xml:space="preserve"> Automatum will not settle, waive, discount or credit Client Fees in a way that reduces OBVG Service Revenue without OBVG's prior written consent. If it does, OBVG Service Revenue is calculated as though the full Client Fees had been collected.</w:t>
      </w:r>
    </w:p>
    <w:p>
      <w:pPr>
        <w:spacing w:after="160" w:before="0" w:line="276"/>
        <w:jc w:val="both"/>
      </w:pPr>
      <w:r>
        <w:rPr>
          <w:rFonts w:ascii="Calibri" w:cs="Calibri" w:eastAsia="Calibri" w:hAnsi="Calibri"/>
          <w:b/>
          <w:bCs/>
          <w:sz w:val="22"/>
          <w:szCs w:val="22"/>
        </w:rPr>
        <w:t xml:space="preserve">11.7 Suspension.</w:t>
      </w:r>
      <w:r>
        <w:rPr>
          <w:rFonts w:ascii="Calibri" w:cs="Calibri" w:eastAsia="Calibri" w:hAnsi="Calibri"/>
          <w:sz w:val="22"/>
          <w:szCs w:val="22"/>
        </w:rPr>
        <w:t xml:space="preserve"> OBVG may not suspend any client-facing element of the Services for non-payment unless payment is more than 60 days overdue and OBVG has given 15 Business Days' written notice to Automatum. OBVG's remedy for sustained non-payment is termination of the affected Engagement Order under clause 23.4 with transition assistance paid by Automatum. Clause 7.4 applies throughout.</w:t>
      </w:r>
    </w:p>
    <w:p>
      <w:pPr>
        <w:spacing w:after="160" w:before="0" w:line="276"/>
        <w:jc w:val="both"/>
      </w:pPr>
      <w:r>
        <w:rPr>
          <w:rFonts w:ascii="Calibri" w:cs="Calibri" w:eastAsia="Calibri" w:hAnsi="Calibri"/>
          <w:b/>
          <w:bCs/>
          <w:sz w:val="22"/>
          <w:szCs w:val="22"/>
        </w:rPr>
        <w:t xml:space="preserve">11.8 Interest and set-off.</w:t>
      </w:r>
      <w:r>
        <w:rPr>
          <w:rFonts w:ascii="Calibri" w:cs="Calibri" w:eastAsia="Calibri" w:hAnsi="Calibri"/>
          <w:sz w:val="22"/>
          <w:szCs w:val="22"/>
        </w:rPr>
        <w:t xml:space="preserve"> Interest accrues on overdue undisputed amounts at 1.5% per month or the maximum rate permitted by law, whichever is lower. Neither Party may set off except for sums that are liquidated, undisputed and due.</w:t>
      </w:r>
    </w:p>
    <w:p>
      <w:pPr>
        <w:spacing w:after="160" w:before="0" w:line="276"/>
        <w:jc w:val="both"/>
      </w:pPr>
      <w:r>
        <w:rPr>
          <w:rFonts w:ascii="Calibri" w:cs="Calibri" w:eastAsia="Calibri" w:hAnsi="Calibri"/>
          <w:b/>
          <w:bCs/>
          <w:sz w:val="22"/>
          <w:szCs w:val="22"/>
        </w:rPr>
        <w:t xml:space="preserve">11.9 Marketplace transaction of Client Fees.</w:t>
      </w:r>
      <w:r>
        <w:rPr>
          <w:rFonts w:ascii="Calibri" w:cs="Calibri" w:eastAsia="Calibri" w:hAnsi="Calibri"/>
          <w:sz w:val="22"/>
          <w:szCs w:val="22"/>
        </w:rPr>
        <w:t xml:space="preserve"> Automatum will invoice Client Fees directly to each Client and will not transact them through AWS Marketplace. If the Parties later agree to transact Client Fees through AWS Marketplace, the allocation of the resulting listing fee must be agreed under clause 14.5 before that begins, and an AWS Marketplace listing fee is deducted in calculating Collected Client Fees only under that agreed allocation.</w:t>
      </w:r>
    </w:p>
    <w:p>
      <w:pPr>
        <w:spacing w:after="160" w:before="0" w:line="276"/>
        <w:jc w:val="both"/>
      </w:pPr>
      <w:r>
        <w:rPr>
          <w:rFonts w:ascii="Calibri" w:cs="Calibri" w:eastAsia="Calibri" w:hAnsi="Calibri"/>
          <w:b/>
          <w:bCs/>
          <w:sz w:val="22"/>
          <w:szCs w:val="22"/>
        </w:rPr>
        <w:t xml:space="preserve">11.10 Taxes.</w:t>
      </w:r>
      <w:r>
        <w:rPr>
          <w:rFonts w:ascii="Calibri" w:cs="Calibri" w:eastAsia="Calibri" w:hAnsi="Calibri"/>
          <w:sz w:val="22"/>
          <w:szCs w:val="22"/>
        </w:rPr>
        <w:t xml:space="preserve"> Each Party bears its own taxes on its own income. Amounts payable are exclusive of Taxes, which Automatum will pay in addition where properly chargeable. If withholding is required by law, the payer will gross up so that the payee receives what it would have received absent the withholding.</w:t>
      </w:r>
    </w:p>
    <w:p>
      <w:pPr>
        <w:spacing w:after="160" w:before="0" w:line="276"/>
        <w:jc w:val="both"/>
      </w:pPr>
      <w:r>
        <w:rPr>
          <w:rFonts w:ascii="Calibri" w:cs="Calibri" w:eastAsia="Calibri" w:hAnsi="Calibri"/>
          <w:b/>
          <w:bCs/>
          <w:sz w:val="22"/>
          <w:szCs w:val="22"/>
        </w:rPr>
        <w:t xml:space="preserve">11.11 Audit of billing.</w:t>
      </w:r>
      <w:r>
        <w:rPr>
          <w:rFonts w:ascii="Calibri" w:cs="Calibri" w:eastAsia="Calibri" w:hAnsi="Calibri"/>
          <w:sz w:val="22"/>
          <w:szCs w:val="22"/>
        </w:rPr>
        <w:t xml:space="preserve"> Once per calendar year OBVG may audit Automatum's records of Client Fees invoiced and collected for Registered Clients, on 30 days' notice, during Business Hours, at OBVG's cost. If the audit shows an understatement of OBVG Service Revenue above 5% for the period audited, Automatum bears the audit cost and pays the shortfall with interest under clause 11.8.</w:t>
      </w:r>
    </w:p>
    <w:p>
      <w:pPr>
        <w:pStyle w:val="Heading2"/>
        <w:keepNext/>
        <w:spacing w:after="140" w:before="300"/>
      </w:pPr>
      <w:r>
        <w:rPr>
          <w:rFonts w:ascii="Calibri" w:cs="Calibri" w:eastAsia="Calibri" w:hAnsi="Calibri"/>
          <w:b/>
          <w:bCs/>
          <w:sz w:val="24"/>
          <w:szCs w:val="24"/>
        </w:rPr>
        <w:t xml:space="preserve">12. Reporting, Records and Audit</w:t>
      </w:r>
    </w:p>
    <w:p>
      <w:pPr>
        <w:spacing w:after="160" w:before="0" w:line="276"/>
        <w:jc w:val="both"/>
      </w:pPr>
      <w:r>
        <w:rPr>
          <w:rFonts w:ascii="Calibri" w:cs="Calibri" w:eastAsia="Calibri" w:hAnsi="Calibri"/>
          <w:b/>
          <w:bCs/>
          <w:sz w:val="22"/>
          <w:szCs w:val="22"/>
        </w:rPr>
        <w:t xml:space="preserve">12.1 Monthly report.</w:t>
      </w:r>
      <w:r>
        <w:rPr>
          <w:rFonts w:ascii="Calibri" w:cs="Calibri" w:eastAsia="Calibri" w:hAnsi="Calibri"/>
          <w:sz w:val="22"/>
          <w:szCs w:val="22"/>
        </w:rPr>
        <w:t xml:space="preserve"> OBVG will deliver the monthly reporting pack under clause 5.1(k). The headline metric is the number of Offer-Issuing Partners, or the fallback metric where clause 14.2 applies, determined under Schedule 4.</w:t>
      </w:r>
    </w:p>
    <w:p>
      <w:pPr>
        <w:spacing w:after="160" w:before="0" w:line="276"/>
        <w:jc w:val="both"/>
      </w:pPr>
      <w:r>
        <w:rPr>
          <w:rFonts w:ascii="Calibri" w:cs="Calibri" w:eastAsia="Calibri" w:hAnsi="Calibri"/>
          <w:b/>
          <w:bCs/>
          <w:sz w:val="22"/>
          <w:szCs w:val="22"/>
        </w:rPr>
        <w:t xml:space="preserve">12.2 Source of truth.</w:t>
      </w:r>
      <w:r>
        <w:rPr>
          <w:rFonts w:ascii="Calibri" w:cs="Calibri" w:eastAsia="Calibri" w:hAnsi="Calibri"/>
          <w:sz w:val="22"/>
          <w:szCs w:val="22"/>
        </w:rPr>
        <w:t xml:space="preserve"> The PSR is the source of truth for the metrics in Schedule 4. OBVG will reconcile it against AWS Marketplace seller reporting monthly and report any discrepancy.</w:t>
      </w:r>
    </w:p>
    <w:p>
      <w:pPr>
        <w:spacing w:after="160" w:before="0" w:line="276"/>
        <w:jc w:val="both"/>
      </w:pPr>
      <w:r>
        <w:rPr>
          <w:rFonts w:ascii="Calibri" w:cs="Calibri" w:eastAsia="Calibri" w:hAnsi="Calibri"/>
          <w:b/>
          <w:bCs/>
          <w:sz w:val="22"/>
          <w:szCs w:val="22"/>
        </w:rPr>
        <w:t xml:space="preserve">12.3 Disputes.</w:t>
      </w:r>
      <w:r>
        <w:rPr>
          <w:rFonts w:ascii="Calibri" w:cs="Calibri" w:eastAsia="Calibri" w:hAnsi="Calibri"/>
          <w:sz w:val="22"/>
          <w:szCs w:val="22"/>
        </w:rPr>
        <w:t xml:space="preserve"> Automatum may dispute a reported figure within 15 Business Days of receiving the report, and the dispute is resolved by reference to the event log under clause 10.5.</w:t>
      </w:r>
    </w:p>
    <w:p>
      <w:pPr>
        <w:spacing w:after="160" w:before="0" w:line="276"/>
        <w:jc w:val="both"/>
      </w:pPr>
      <w:r>
        <w:rPr>
          <w:rFonts w:ascii="Calibri" w:cs="Calibri" w:eastAsia="Calibri" w:hAnsi="Calibri"/>
          <w:b/>
          <w:bCs/>
          <w:sz w:val="22"/>
          <w:szCs w:val="22"/>
        </w:rPr>
        <w:t xml:space="preserve">12.4 Records and audit.</w:t>
      </w:r>
      <w:r>
        <w:rPr>
          <w:rFonts w:ascii="Calibri" w:cs="Calibri" w:eastAsia="Calibri" w:hAnsi="Calibri"/>
          <w:sz w:val="22"/>
          <w:szCs w:val="22"/>
        </w:rPr>
        <w:t xml:space="preserve"> Each Party will keep accurate records of its performance for the Term plus 3 years, and clause 10.5 governs the event log. Automatum may audit OBVG's compliance once per calendar year on 30 days' notice, during Business Hours, at Automatum's cost, and more frequently after a Chronic Failure or security incident. Audits will not require disclosure of another OBVG client's confidential information.</w:t>
      </w:r>
    </w:p>
    <w:p>
      <w:pPr>
        <w:pStyle w:val="Heading2"/>
        <w:keepNext/>
        <w:spacing w:after="140" w:before="300"/>
      </w:pPr>
      <w:r>
        <w:rPr>
          <w:rFonts w:ascii="Calibri" w:cs="Calibri" w:eastAsia="Calibri" w:hAnsi="Calibri"/>
          <w:b/>
          <w:bCs/>
          <w:sz w:val="24"/>
          <w:szCs w:val="24"/>
        </w:rPr>
        <w:t xml:space="preserve">13. AWS Program Compliance</w:t>
      </w:r>
    </w:p>
    <w:p>
      <w:pPr>
        <w:spacing w:after="160" w:before="0" w:line="276"/>
        <w:jc w:val="both"/>
      </w:pPr>
      <w:r>
        <w:rPr>
          <w:rFonts w:ascii="Calibri" w:cs="Calibri" w:eastAsia="Calibri" w:hAnsi="Calibri"/>
          <w:b/>
          <w:bCs/>
          <w:sz w:val="22"/>
          <w:szCs w:val="22"/>
        </w:rPr>
        <w:t xml:space="preserve">13.1 Compliance.</w:t>
      </w:r>
      <w:r>
        <w:rPr>
          <w:rFonts w:ascii="Calibri" w:cs="Calibri" w:eastAsia="Calibri" w:hAnsi="Calibri"/>
          <w:sz w:val="22"/>
          <w:szCs w:val="22"/>
        </w:rPr>
        <w:t xml:space="preserve"> Each Party will comply with the AWS Program Terms applicable to it and maintain the AWS registrations, certifications and program statuses its role requires.</w:t>
      </w:r>
    </w:p>
    <w:p>
      <w:pPr>
        <w:spacing w:after="160" w:before="0" w:line="276"/>
        <w:jc w:val="both"/>
      </w:pPr>
      <w:r>
        <w:rPr>
          <w:rFonts w:ascii="Calibri" w:cs="Calibri" w:eastAsia="Calibri" w:hAnsi="Calibri"/>
          <w:b/>
          <w:bCs/>
          <w:sz w:val="22"/>
          <w:szCs w:val="22"/>
        </w:rPr>
        <w:t xml:space="preserve">13.2 No representation as AWS.</w:t>
      </w:r>
      <w:r>
        <w:rPr>
          <w:rFonts w:ascii="Calibri" w:cs="Calibri" w:eastAsia="Calibri" w:hAnsi="Calibri"/>
          <w:sz w:val="22"/>
          <w:szCs w:val="22"/>
        </w:rPr>
        <w:t xml:space="preserve"> Neither Party will represent itself as AWS, as acting with AWS's authority, or as able to bind AWS.</w:t>
      </w:r>
    </w:p>
    <w:p>
      <w:pPr>
        <w:spacing w:after="160" w:before="0" w:line="276"/>
        <w:jc w:val="both"/>
      </w:pPr>
      <w:r>
        <w:rPr>
          <w:rFonts w:ascii="Calibri" w:cs="Calibri" w:eastAsia="Calibri" w:hAnsi="Calibri"/>
          <w:b/>
          <w:bCs/>
          <w:sz w:val="22"/>
          <w:szCs w:val="22"/>
        </w:rPr>
        <w:t xml:space="preserve">13.3 AWS is not a party.</w:t>
      </w:r>
      <w:r>
        <w:rPr>
          <w:rFonts w:ascii="Calibri" w:cs="Calibri" w:eastAsia="Calibri" w:hAnsi="Calibri"/>
          <w:sz w:val="22"/>
          <w:szCs w:val="22"/>
        </w:rPr>
        <w:t xml:space="preserve"> AWS is not a party to this Agreement and owes no obligation under it. Nothing in this Agreement, and nothing said or exchanged before it, is a commitment by AWS.</w:t>
      </w:r>
    </w:p>
    <w:p>
      <w:pPr>
        <w:spacing w:after="160" w:before="0" w:line="276"/>
        <w:jc w:val="both"/>
      </w:pPr>
      <w:r>
        <w:rPr>
          <w:rFonts w:ascii="Calibri" w:cs="Calibri" w:eastAsia="Calibri" w:hAnsi="Calibri"/>
          <w:b/>
          <w:bCs/>
          <w:sz w:val="22"/>
          <w:szCs w:val="22"/>
        </w:rPr>
        <w:t xml:space="preserve">13.4 Solution identifier and overlap.</w:t>
      </w:r>
      <w:r>
        <w:rPr>
          <w:rFonts w:ascii="Calibri" w:cs="Calibri" w:eastAsia="Calibri" w:hAnsi="Calibri"/>
          <w:sz w:val="22"/>
          <w:szCs w:val="22"/>
        </w:rPr>
        <w:t xml:space="preserve"> Opportunities for the Solution map to the single solution identifier in Schedule 8. Where an opportunity falls within both the Solution and another offering of either Party, the Parties will agree in writing which it is attributed to, so that no opportunity is counted or billed twice.</w:t>
      </w:r>
    </w:p>
    <w:p>
      <w:pPr>
        <w:spacing w:after="160" w:before="0" w:line="276"/>
        <w:jc w:val="both"/>
      </w:pPr>
      <w:r>
        <w:rPr>
          <w:rFonts w:ascii="Calibri" w:cs="Calibri" w:eastAsia="Calibri" w:hAnsi="Calibri"/>
          <w:b/>
          <w:bCs/>
          <w:sz w:val="22"/>
          <w:szCs w:val="22"/>
        </w:rPr>
        <w:t xml:space="preserve">13.5 ACE integrity.</w:t>
      </w:r>
      <w:r>
        <w:rPr>
          <w:rFonts w:ascii="Calibri" w:cs="Calibri" w:eastAsia="Calibri" w:hAnsi="Calibri"/>
          <w:sz w:val="22"/>
          <w:szCs w:val="22"/>
        </w:rPr>
        <w:t xml:space="preserve"> Neither Party will submit an ACE opportunity it knows or ought reasonably to know to be inaccurate, duplicated or misattributed. Clause 5.1(j) governs the account under which OBVG files.</w:t>
      </w:r>
    </w:p>
    <w:p>
      <w:pPr>
        <w:spacing w:after="160" w:before="0" w:line="276"/>
        <w:jc w:val="both"/>
      </w:pPr>
      <w:r>
        <w:rPr>
          <w:rFonts w:ascii="Calibri" w:cs="Calibri" w:eastAsia="Calibri" w:hAnsi="Calibri"/>
          <w:b/>
          <w:bCs/>
          <w:sz w:val="22"/>
          <w:szCs w:val="22"/>
        </w:rPr>
        <w:t xml:space="preserve">13.6 AWS program change.</w:t>
      </w:r>
      <w:r>
        <w:rPr>
          <w:rFonts w:ascii="Calibri" w:cs="Calibri" w:eastAsia="Calibri" w:hAnsi="Calibri"/>
          <w:sz w:val="22"/>
          <w:szCs w:val="22"/>
        </w:rPr>
        <w:t xml:space="preserve"> If AWS changes an AWS Program Term, a Marketplace mechanism or a program rule so that a commitment in Schedule 1 or 4 becomes impossible or materially more onerous, clause 14.3 applies.</w:t>
      </w:r>
    </w:p>
    <w:p>
      <w:pPr>
        <w:pStyle w:val="Heading2"/>
        <w:keepNext/>
        <w:spacing w:after="140" w:before="300"/>
      </w:pPr>
      <w:r>
        <w:rPr>
          <w:rFonts w:ascii="Calibri" w:cs="Calibri" w:eastAsia="Calibri" w:hAnsi="Calibri"/>
          <w:b/>
          <w:bCs/>
          <w:sz w:val="24"/>
          <w:szCs w:val="24"/>
        </w:rPr>
        <w:t xml:space="preserve">14. Dependencies, Assumptions and Change Control</w:t>
      </w:r>
    </w:p>
    <w:p>
      <w:pPr>
        <w:spacing w:after="160" w:before="0" w:line="276"/>
        <w:jc w:val="both"/>
      </w:pPr>
      <w:r>
        <w:rPr>
          <w:rFonts w:ascii="Calibri" w:cs="Calibri" w:eastAsia="Calibri" w:hAnsi="Calibri"/>
          <w:b/>
          <w:bCs/>
          <w:sz w:val="22"/>
          <w:szCs w:val="22"/>
        </w:rPr>
        <w:t xml:space="preserve">14.1 Assumptions.</w:t>
      </w:r>
      <w:r>
        <w:rPr>
          <w:rFonts w:ascii="Calibri" w:cs="Calibri" w:eastAsia="Calibri" w:hAnsi="Calibri"/>
          <w:sz w:val="22"/>
          <w:szCs w:val="22"/>
        </w:rPr>
        <w:t xml:space="preserve"> This Agreement is entered into on the assumptions in Schedule 8. An assumption proving incorrect is not a breach, and the consequence is as stated in Schedule 8 or this clause.</w:t>
      </w:r>
    </w:p>
    <w:p>
      <w:pPr>
        <w:spacing w:after="160" w:before="0" w:line="276"/>
        <w:jc w:val="both"/>
      </w:pPr>
      <w:r>
        <w:rPr>
          <w:rFonts w:ascii="Calibri" w:cs="Calibri" w:eastAsia="Calibri" w:hAnsi="Calibri"/>
          <w:b/>
          <w:bCs/>
          <w:sz w:val="22"/>
          <w:szCs w:val="22"/>
        </w:rPr>
        <w:t xml:space="preserve">14.2 Marketplace authorization dependency.</w:t>
      </w:r>
      <w:r>
        <w:rPr>
          <w:rFonts w:ascii="Calibri" w:cs="Calibri" w:eastAsia="Calibri" w:hAnsi="Calibri"/>
          <w:sz w:val="22"/>
          <w:szCs w:val="22"/>
        </w:rPr>
        <w:t xml:space="preserve"> As at the Effective Date, AWS has not confirmed whether, or by what mechanism, a third-party reseller may issue offers against Automatum's listing while Automatum is seller of record. Automatum is responsible for obtaining AWS's confirmation and will use reasonable efforts to obtain a written answer by the longstop date in Schedule 8. If the mechanism is confirmed available by then, the primary metric in Schedule 4 applies. If it is not, the fallback metric in Schedule 4 applies automatically from the next Engagement Month, without further agreement, and neither Party is in breach or liable to the other. Neither Party warrants the outcome.</w:t>
      </w:r>
    </w:p>
    <w:p>
      <w:pPr>
        <w:spacing w:after="160" w:before="0" w:line="276"/>
        <w:jc w:val="both"/>
      </w:pPr>
      <w:r>
        <w:rPr>
          <w:rFonts w:ascii="Calibri" w:cs="Calibri" w:eastAsia="Calibri" w:hAnsi="Calibri"/>
          <w:b/>
          <w:bCs/>
          <w:sz w:val="22"/>
          <w:szCs w:val="22"/>
        </w:rPr>
        <w:t xml:space="preserve">14.3 AWS program change relief.</w:t>
      </w:r>
      <w:r>
        <w:rPr>
          <w:rFonts w:ascii="Calibri" w:cs="Calibri" w:eastAsia="Calibri" w:hAnsi="Calibri"/>
          <w:sz w:val="22"/>
          <w:szCs w:val="22"/>
        </w:rPr>
        <w:t xml:space="preserve"> Where clause 13.6 applies, the affected obligation is suspended, the Parties will meet within 10 Business Days to agree a change under clause 14.5, and if they have not agreed within 30 days either may terminate the affected Engagement Order on 30 days' notice, with Client Fees pro-rated to termination and no termination liability on either side.</w:t>
      </w:r>
    </w:p>
    <w:p>
      <w:pPr>
        <w:spacing w:after="160" w:before="0" w:line="276"/>
        <w:jc w:val="both"/>
      </w:pPr>
      <w:r>
        <w:rPr>
          <w:rFonts w:ascii="Calibri" w:cs="Calibri" w:eastAsia="Calibri" w:hAnsi="Calibri"/>
          <w:b/>
          <w:bCs/>
          <w:sz w:val="22"/>
          <w:szCs w:val="22"/>
        </w:rPr>
        <w:t xml:space="preserve">14.4 Capacity test.</w:t>
      </w:r>
      <w:r>
        <w:rPr>
          <w:rFonts w:ascii="Calibri" w:cs="Calibri" w:eastAsia="Calibri" w:hAnsi="Calibri"/>
          <w:sz w:val="22"/>
          <w:szCs w:val="22"/>
        </w:rPr>
        <w:t xml:space="preserve"> Neither Party will publish the Tier matrix to the market, and no Engagement Order may be executed at a Tier, until the capacity test in Schedule 8, covering the service levels in Schedule 4 and the Tier 3 roster in Schedule 1, has been passed for that Tier.</w:t>
      </w:r>
    </w:p>
    <w:p>
      <w:pPr>
        <w:spacing w:after="160" w:before="0" w:line="276"/>
        <w:jc w:val="both"/>
      </w:pPr>
      <w:r>
        <w:rPr>
          <w:rFonts w:ascii="Calibri" w:cs="Calibri" w:eastAsia="Calibri" w:hAnsi="Calibri"/>
          <w:b/>
          <w:bCs/>
          <w:sz w:val="22"/>
          <w:szCs w:val="22"/>
        </w:rPr>
        <w:t xml:space="preserve">14.5 Change control.</w:t>
      </w:r>
      <w:r>
        <w:rPr>
          <w:rFonts w:ascii="Calibri" w:cs="Calibri" w:eastAsia="Calibri" w:hAnsi="Calibri"/>
          <w:sz w:val="22"/>
          <w:szCs w:val="22"/>
        </w:rPr>
        <w:t xml:space="preserve"> Any change to the Services, the service levels, a Tier, the Schedules or the commercial terms takes effect only in a change order signed by both Parties stating the change and its effect on the Services and on OBVG Service Revenue. Neither Party is obliged to agree to any change. Work outside the Services is chargeable at the Schedule 2 rate card.</w:t>
      </w:r>
    </w:p>
    <w:p>
      <w:pPr>
        <w:pStyle w:val="Heading2"/>
        <w:keepNext/>
        <w:spacing w:after="140" w:before="300"/>
      </w:pPr>
      <w:r>
        <w:rPr>
          <w:rFonts w:ascii="Calibri" w:cs="Calibri" w:eastAsia="Calibri" w:hAnsi="Calibri"/>
          <w:b/>
          <w:bCs/>
          <w:sz w:val="24"/>
          <w:szCs w:val="24"/>
        </w:rPr>
        <w:t xml:space="preserve">15. Non-Circumvention and Non-Solicitation</w:t>
      </w:r>
    </w:p>
    <w:p>
      <w:pPr>
        <w:spacing w:after="160" w:before="0" w:line="276"/>
        <w:jc w:val="both"/>
      </w:pPr>
      <w:r>
        <w:rPr>
          <w:rFonts w:ascii="Calibri" w:cs="Calibri" w:eastAsia="Calibri" w:hAnsi="Calibri"/>
          <w:b/>
          <w:bCs/>
          <w:sz w:val="22"/>
          <w:szCs w:val="22"/>
        </w:rPr>
        <w:t xml:space="preserve">15.1 Scope.</w:t>
      </w:r>
      <w:r>
        <w:rPr>
          <w:rFonts w:ascii="Calibri" w:cs="Calibri" w:eastAsia="Calibri" w:hAnsi="Calibri"/>
          <w:sz w:val="22"/>
          <w:szCs w:val="22"/>
        </w:rPr>
        <w:t xml:space="preserve"> This clause is limited to Registered Clients and Recruited Partners and does not restrain either Party's business generally.</w:t>
      </w:r>
    </w:p>
    <w:p>
      <w:pPr>
        <w:spacing w:after="160" w:before="0" w:line="276"/>
        <w:jc w:val="both"/>
      </w:pPr>
      <w:r>
        <w:rPr>
          <w:rFonts w:ascii="Calibri" w:cs="Calibri" w:eastAsia="Calibri" w:hAnsi="Calibri"/>
          <w:b/>
          <w:bCs/>
          <w:sz w:val="22"/>
          <w:szCs w:val="22"/>
        </w:rPr>
        <w:t xml:space="preserve">15.2 Registered Clients.</w:t>
      </w:r>
      <w:r>
        <w:rPr>
          <w:rFonts w:ascii="Calibri" w:cs="Calibri" w:eastAsia="Calibri" w:hAnsi="Calibri"/>
          <w:sz w:val="22"/>
          <w:szCs w:val="22"/>
        </w:rPr>
        <w:t xml:space="preserve"> During the Term and for 24 months after the later of expiry and termination of the relevant Engagement Order, OBVG will not directly or indirectly solicit, accept or provide channel services of the kind comprised in the Services to a Registered Client or its affiliates, assist a third party to do so, or introduce a Registered Client to another AWS Marketplace seller of record or prime provider for the purpose of procuring such services. This does not apply to a Prior Relationship under clause 4.4, to general marketing not targeted at Registered Clients, or to an approach the Registered Client initiates where OBVG declines it and notifies Automatum within 5 Business Days.</w:t>
      </w:r>
    </w:p>
    <w:p>
      <w:pPr>
        <w:spacing w:after="160" w:before="0" w:line="276"/>
        <w:jc w:val="both"/>
      </w:pPr>
      <w:r>
        <w:rPr>
          <w:rFonts w:ascii="Calibri" w:cs="Calibri" w:eastAsia="Calibri" w:hAnsi="Calibri"/>
          <w:b/>
          <w:bCs/>
          <w:sz w:val="22"/>
          <w:szCs w:val="22"/>
        </w:rPr>
        <w:t xml:space="preserve">15.3 Recruited Partners.</w:t>
      </w:r>
      <w:r>
        <w:rPr>
          <w:rFonts w:ascii="Calibri" w:cs="Calibri" w:eastAsia="Calibri" w:hAnsi="Calibri"/>
          <w:sz w:val="22"/>
          <w:szCs w:val="22"/>
        </w:rPr>
        <w:t xml:space="preserve"> OBVG may work with any Recruited Partner on other engagements. During the Term and for 12 months after, OBVG will not use Client Data to solicit any partner away from a Registered Client's channel, procure or encourage a Recruited Partner to terminate or breach its agreement relating to a Registered Client's channel, or introduce a Recruited Partner to a competing software provider in the same solution category as a Registered Client for the purpose of displacing that Client's product.</w:t>
      </w:r>
    </w:p>
    <w:p>
      <w:pPr>
        <w:spacing w:after="160" w:before="0" w:line="276"/>
        <w:jc w:val="both"/>
      </w:pPr>
      <w:r>
        <w:rPr>
          <w:rFonts w:ascii="Calibri" w:cs="Calibri" w:eastAsia="Calibri" w:hAnsi="Calibri"/>
          <w:b/>
          <w:bCs/>
          <w:sz w:val="22"/>
          <w:szCs w:val="22"/>
        </w:rPr>
        <w:t xml:space="preserve">15.4 Automatum's covenant.</w:t>
      </w:r>
      <w:r>
        <w:rPr>
          <w:rFonts w:ascii="Calibri" w:cs="Calibri" w:eastAsia="Calibri" w:hAnsi="Calibri"/>
          <w:sz w:val="22"/>
          <w:szCs w:val="22"/>
        </w:rPr>
        <w:t xml:space="preserve"> During the Term and for 12 months after the later of expiry and termination of the relevant Engagement Order, Automatum will not provide services of the kind comprised in the Services to a Registered Client using OBVG Materials outside the license in clause 16.4, or using personnel recruited from OBVG in breach of clause 15.5.</w:t>
      </w:r>
    </w:p>
    <w:p>
      <w:pPr>
        <w:spacing w:after="160" w:before="0" w:line="276"/>
        <w:jc w:val="both"/>
      </w:pPr>
      <w:r>
        <w:rPr>
          <w:rFonts w:ascii="Calibri" w:cs="Calibri" w:eastAsia="Calibri" w:hAnsi="Calibri"/>
          <w:b/>
          <w:bCs/>
          <w:sz w:val="22"/>
          <w:szCs w:val="22"/>
        </w:rPr>
        <w:t xml:space="preserve">15.5 Personnel.</w:t>
      </w:r>
      <w:r>
        <w:rPr>
          <w:rFonts w:ascii="Calibri" w:cs="Calibri" w:eastAsia="Calibri" w:hAnsi="Calibri"/>
          <w:sz w:val="22"/>
          <w:szCs w:val="22"/>
        </w:rPr>
        <w:t xml:space="preserve"> During the Term and for 12 months after the later of expiry and termination of the relevant Engagement Order, neither Party will solicit for employment or engagement any employee or contractor of the other who was materially involved in the Services. This does not restrict general advertising not targeted at the other's personnel, responses to unsolicited applications, or engaging a person who ceased to be engaged by the other more than 6 months earlier. A Party in breach will pay the other 30% of the person's first year total compensation.</w:t>
      </w:r>
    </w:p>
    <w:p>
      <w:pPr>
        <w:spacing w:after="160" w:before="0" w:line="276"/>
        <w:jc w:val="both"/>
      </w:pPr>
      <w:r>
        <w:rPr>
          <w:rFonts w:ascii="Calibri" w:cs="Calibri" w:eastAsia="Calibri" w:hAnsi="Calibri"/>
          <w:b/>
          <w:bCs/>
          <w:sz w:val="22"/>
          <w:szCs w:val="22"/>
        </w:rPr>
        <w:t xml:space="preserve">15.6 Liquidated damages.</w:t>
      </w:r>
      <w:r>
        <w:rPr>
          <w:rFonts w:ascii="Calibri" w:cs="Calibri" w:eastAsia="Calibri" w:hAnsi="Calibri"/>
          <w:sz w:val="22"/>
          <w:szCs w:val="22"/>
        </w:rPr>
        <w:t xml:space="preserve"> If OBVG breaches clause 15.2 in respect of a Registered Client, OBVG will pay Automatum $35,000 for that Client. Automatum's loss in that event is the loss of its Platform Revenue stream and the cost of re-sourcing delivery; the Parties agree this amount is a reasonable estimate of that loss made at the time of contracting, that the actual loss would be difficult to determine, and that the amount is not a penalty and is not measured against gross Client Fees, which are not Automatum's loss.</w:t>
      </w:r>
    </w:p>
    <w:p>
      <w:pPr>
        <w:spacing w:after="160" w:before="0" w:line="276"/>
        <w:jc w:val="both"/>
      </w:pPr>
      <w:r>
        <w:rPr>
          <w:rFonts w:ascii="Calibri" w:cs="Calibri" w:eastAsia="Calibri" w:hAnsi="Calibri"/>
          <w:b/>
          <w:bCs/>
          <w:sz w:val="22"/>
          <w:szCs w:val="22"/>
        </w:rPr>
        <w:t xml:space="preserve">15.7 Injunctive relief and reasonableness.</w:t>
      </w:r>
      <w:r>
        <w:rPr>
          <w:rFonts w:ascii="Calibri" w:cs="Calibri" w:eastAsia="Calibri" w:hAnsi="Calibri"/>
          <w:sz w:val="22"/>
          <w:szCs w:val="22"/>
        </w:rPr>
        <w:t xml:space="preserve"> Damages alone may not be an adequate remedy for breach of this clause or clause 17, and either Party may seek injunctive relief without proving actual damage or posting a bond. The Parties have negotiated this clause as sophisticated commercial parties with the benefit of advice; if a court finds any restriction unreasonable in duration, scope or geography, it applies with the minimum modification needed to make it enforceable.</w:t>
      </w:r>
    </w:p>
    <w:p>
      <w:pPr>
        <w:pStyle w:val="Heading2"/>
        <w:keepNext/>
        <w:spacing w:after="140" w:before="300"/>
      </w:pPr>
      <w:r>
        <w:rPr>
          <w:rFonts w:ascii="Calibri" w:cs="Calibri" w:eastAsia="Calibri" w:hAnsi="Calibri"/>
          <w:b/>
          <w:bCs/>
          <w:sz w:val="24"/>
          <w:szCs w:val="24"/>
        </w:rPr>
        <w:t xml:space="preserve">16. Intellectual Property</w:t>
      </w:r>
    </w:p>
    <w:p>
      <w:pPr>
        <w:spacing w:after="160" w:before="0" w:line="276"/>
        <w:jc w:val="both"/>
      </w:pPr>
      <w:r>
        <w:rPr>
          <w:rFonts w:ascii="Calibri" w:cs="Calibri" w:eastAsia="Calibri" w:hAnsi="Calibri"/>
          <w:b/>
          <w:bCs/>
          <w:sz w:val="22"/>
          <w:szCs w:val="22"/>
        </w:rPr>
        <w:t xml:space="preserve">16.1 Background IP.</w:t>
      </w:r>
      <w:r>
        <w:rPr>
          <w:rFonts w:ascii="Calibri" w:cs="Calibri" w:eastAsia="Calibri" w:hAnsi="Calibri"/>
          <w:sz w:val="22"/>
          <w:szCs w:val="22"/>
        </w:rPr>
        <w:t xml:space="preserve"> Each Party retains all rights in intellectual property it owned before the Effective Date or develops independently of this Agreement. OBVG retains all rights in the OBVG Materials, including the PSR, and Automatum retains all rights in the Automatum Brand. Nothing in this Agreement transfers ownership of the OBVG Materials or the Automatum Brand.</w:t>
      </w:r>
    </w:p>
    <w:p>
      <w:pPr>
        <w:spacing w:after="160" w:before="0" w:line="276"/>
        <w:jc w:val="both"/>
      </w:pPr>
      <w:r>
        <w:rPr>
          <w:rFonts w:ascii="Calibri" w:cs="Calibri" w:eastAsia="Calibri" w:hAnsi="Calibri"/>
          <w:b/>
          <w:bCs/>
          <w:sz w:val="22"/>
          <w:szCs w:val="22"/>
        </w:rPr>
        <w:t xml:space="preserve">16.2 Service IP.</w:t>
      </w:r>
      <w:r>
        <w:rPr>
          <w:rFonts w:ascii="Calibri" w:cs="Calibri" w:eastAsia="Calibri" w:hAnsi="Calibri"/>
          <w:sz w:val="22"/>
          <w:szCs w:val="22"/>
        </w:rPr>
        <w:t xml:space="preserve"> All intellectual property created in performing the Services vests in OBVG on creation and forms part of the OBVG Materials, including any improvement, refinement, extension or derivative of the OBVG Materials or the PSR and any methodology, playbook, template, curriculum or process developed in the course of an Engagement. No intellectual property is owned jointly under this Agreement. No approval, instruction, specification, requirement, feedback or other contribution by Automatum or a Registered Client gives Automatum or that Client ownership of, or any interest in, the OBVG Materials. Automatum's rights in the OBVG Materials are the licenses expressly granted in this Agreement and no others.</w:t>
      </w:r>
    </w:p>
    <w:p>
      <w:pPr>
        <w:spacing w:after="160" w:before="0" w:line="276"/>
        <w:jc w:val="both"/>
      </w:pPr>
      <w:r>
        <w:rPr>
          <w:rFonts w:ascii="Calibri" w:cs="Calibri" w:eastAsia="Calibri" w:hAnsi="Calibri"/>
          <w:b/>
          <w:bCs/>
          <w:sz w:val="22"/>
          <w:szCs w:val="22"/>
        </w:rPr>
        <w:t xml:space="preserve">16.3 Client Data.</w:t>
      </w:r>
      <w:r>
        <w:rPr>
          <w:rFonts w:ascii="Calibri" w:cs="Calibri" w:eastAsia="Calibri" w:hAnsi="Calibri"/>
          <w:sz w:val="22"/>
          <w:szCs w:val="22"/>
        </w:rPr>
        <w:t xml:space="preserve"> Clause 10.3 governs.</w:t>
      </w:r>
    </w:p>
    <w:p>
      <w:pPr>
        <w:spacing w:after="160" w:before="0" w:line="276"/>
        <w:jc w:val="both"/>
      </w:pPr>
      <w:r>
        <w:rPr>
          <w:rFonts w:ascii="Calibri" w:cs="Calibri" w:eastAsia="Calibri" w:hAnsi="Calibri"/>
          <w:b/>
          <w:bCs/>
          <w:sz w:val="22"/>
          <w:szCs w:val="22"/>
        </w:rPr>
        <w:t xml:space="preserve">16.4 Client-facing deliverables.</w:t>
      </w:r>
      <w:r>
        <w:rPr>
          <w:rFonts w:ascii="Calibri" w:cs="Calibri" w:eastAsia="Calibri" w:hAnsi="Calibri"/>
          <w:sz w:val="22"/>
          <w:szCs w:val="22"/>
        </w:rPr>
        <w:t xml:space="preserve"> OBVG grants Automatum a perpetual, irrevocable, non-exclusive, worldwide, royalty-free, sublicensable license to use, copy, modify and distribute the client-facing deliverables produced for a Registered Client, including that Client's partner agreements, margin schedule, enablement content, playbooks and reports, for that Client's own channel and for Automatum's performance of the relevant Client Agreement. This license survives termination. It is limited to those deliverables as produced for that Registered Client and gives Automatum no right in the OBVG Materials from which they were produced.</w:t>
      </w:r>
    </w:p>
    <w:p>
      <w:pPr>
        <w:spacing w:after="160" w:before="0" w:line="276"/>
        <w:jc w:val="both"/>
      </w:pPr>
      <w:r>
        <w:rPr>
          <w:rFonts w:ascii="Calibri" w:cs="Calibri" w:eastAsia="Calibri" w:hAnsi="Calibri"/>
          <w:b/>
          <w:bCs/>
          <w:sz w:val="22"/>
          <w:szCs w:val="22"/>
        </w:rPr>
        <w:t xml:space="preserve">16.5 Feedback.</w:t>
      </w:r>
      <w:r>
        <w:rPr>
          <w:rFonts w:ascii="Calibri" w:cs="Calibri" w:eastAsia="Calibri" w:hAnsi="Calibri"/>
          <w:sz w:val="22"/>
          <w:szCs w:val="22"/>
        </w:rPr>
        <w:t xml:space="preserve"> Each Party may use without restriction or obligation any suggestion or feedback the other gives about its products or services.</w:t>
      </w:r>
    </w:p>
    <w:p>
      <w:pPr>
        <w:pStyle w:val="Heading2"/>
        <w:keepNext/>
        <w:spacing w:after="140" w:before="300"/>
      </w:pPr>
      <w:r>
        <w:rPr>
          <w:rFonts w:ascii="Calibri" w:cs="Calibri" w:eastAsia="Calibri" w:hAnsi="Calibri"/>
          <w:b/>
          <w:bCs/>
          <w:sz w:val="24"/>
          <w:szCs w:val="24"/>
        </w:rPr>
        <w:t xml:space="preserve">17. Confidentiality</w:t>
      </w:r>
    </w:p>
    <w:p>
      <w:pPr>
        <w:spacing w:after="160" w:before="0" w:line="276"/>
        <w:jc w:val="both"/>
      </w:pPr>
      <w:r>
        <w:rPr>
          <w:rFonts w:ascii="Calibri" w:cs="Calibri" w:eastAsia="Calibri" w:hAnsi="Calibri"/>
          <w:b/>
          <w:bCs/>
          <w:sz w:val="22"/>
          <w:szCs w:val="22"/>
        </w:rPr>
        <w:t xml:space="preserve">17.1 Definition.</w:t>
      </w:r>
      <w:r>
        <w:rPr>
          <w:rFonts w:ascii="Calibri" w:cs="Calibri" w:eastAsia="Calibri" w:hAnsi="Calibri"/>
          <w:sz w:val="22"/>
          <w:szCs w:val="22"/>
        </w:rPr>
        <w:t xml:space="preserve"> "</w:t>
      </w:r>
      <w:r>
        <w:rPr>
          <w:rFonts w:ascii="Calibri" w:cs="Calibri" w:eastAsia="Calibri" w:hAnsi="Calibri"/>
          <w:b/>
          <w:bCs/>
          <w:sz w:val="22"/>
          <w:szCs w:val="22"/>
        </w:rPr>
        <w:t xml:space="preserve">Confidential Information</w:t>
      </w:r>
      <w:r>
        <w:rPr>
          <w:rFonts w:ascii="Calibri" w:cs="Calibri" w:eastAsia="Calibri" w:hAnsi="Calibri"/>
          <w:sz w:val="22"/>
          <w:szCs w:val="22"/>
        </w:rPr>
        <w:t xml:space="preserve">" means non-public information disclosed by or for a Party that is identified as confidential or that a reasonable person would understand to be confidential. The Client Registry, the Recruited Partner roster, the Client Data, the terms of this Agreement and each Engagement Order, and the existence and nature of OBVG's role, are each Confidential Information.</w:t>
      </w:r>
    </w:p>
    <w:p>
      <w:pPr>
        <w:spacing w:after="160" w:before="0" w:line="276"/>
        <w:jc w:val="both"/>
      </w:pPr>
      <w:r>
        <w:rPr>
          <w:rFonts w:ascii="Calibri" w:cs="Calibri" w:eastAsia="Calibri" w:hAnsi="Calibri"/>
          <w:b/>
          <w:bCs/>
          <w:sz w:val="22"/>
          <w:szCs w:val="22"/>
        </w:rPr>
        <w:t xml:space="preserve">17.2 Obligations.</w:t>
      </w:r>
      <w:r>
        <w:rPr>
          <w:rFonts w:ascii="Calibri" w:cs="Calibri" w:eastAsia="Calibri" w:hAnsi="Calibri"/>
          <w:sz w:val="22"/>
          <w:szCs w:val="22"/>
        </w:rPr>
        <w:t xml:space="preserve"> The receiving Party will keep it confidential, use it only to perform or enforce this Agreement, protect it with at least reasonable care, and disclose it only to personnel, professional advisers and approved subcontractors who need it and are bound by equivalent obligations.</w:t>
      </w:r>
    </w:p>
    <w:p>
      <w:pPr>
        <w:spacing w:after="160" w:before="0" w:line="276"/>
        <w:jc w:val="both"/>
      </w:pPr>
      <w:r>
        <w:rPr>
          <w:rFonts w:ascii="Calibri" w:cs="Calibri" w:eastAsia="Calibri" w:hAnsi="Calibri"/>
          <w:b/>
          <w:bCs/>
          <w:sz w:val="22"/>
          <w:szCs w:val="22"/>
        </w:rPr>
        <w:t xml:space="preserve">17.3 Exceptions.</w:t>
      </w:r>
      <w:r>
        <w:rPr>
          <w:rFonts w:ascii="Calibri" w:cs="Calibri" w:eastAsia="Calibri" w:hAnsi="Calibri"/>
          <w:sz w:val="22"/>
          <w:szCs w:val="22"/>
        </w:rPr>
        <w:t xml:space="preserve"> These obligations do not apply to information that is or becomes public without breach, was lawfully known without obligation before disclosure, is lawfully received from a third party without obligation, or is independently developed without use of it. A Party may disclose to the extent required by law, regulation or court order, giving reasonable advance notice where lawfully permitted and disclosing only what is required.</w:t>
      </w:r>
    </w:p>
    <w:p>
      <w:pPr>
        <w:spacing w:after="160" w:before="0" w:line="276"/>
        <w:jc w:val="both"/>
      </w:pPr>
      <w:r>
        <w:rPr>
          <w:rFonts w:ascii="Calibri" w:cs="Calibri" w:eastAsia="Calibri" w:hAnsi="Calibri"/>
          <w:b/>
          <w:bCs/>
          <w:sz w:val="22"/>
          <w:szCs w:val="22"/>
        </w:rPr>
        <w:t xml:space="preserve">17.4 Duration.</w:t>
      </w:r>
      <w:r>
        <w:rPr>
          <w:rFonts w:ascii="Calibri" w:cs="Calibri" w:eastAsia="Calibri" w:hAnsi="Calibri"/>
          <w:sz w:val="22"/>
          <w:szCs w:val="22"/>
        </w:rPr>
        <w:t xml:space="preserve"> These obligations continue for 5 years after termination, and indefinitely for Client Data, Personal Data and trade secrets for as long as they remain trade secrets.</w:t>
      </w:r>
    </w:p>
    <w:p>
      <w:pPr>
        <w:pStyle w:val="Heading2"/>
        <w:keepNext/>
        <w:spacing w:after="140" w:before="300"/>
      </w:pPr>
      <w:r>
        <w:rPr>
          <w:rFonts w:ascii="Calibri" w:cs="Calibri" w:eastAsia="Calibri" w:hAnsi="Calibri"/>
          <w:b/>
          <w:bCs/>
          <w:sz w:val="24"/>
          <w:szCs w:val="24"/>
        </w:rPr>
        <w:t xml:space="preserve">18. Data Protection and Security</w:t>
      </w:r>
    </w:p>
    <w:p>
      <w:pPr>
        <w:spacing w:after="160" w:before="0" w:line="276"/>
        <w:jc w:val="both"/>
      </w:pPr>
      <w:r>
        <w:rPr>
          <w:rFonts w:ascii="Calibri" w:cs="Calibri" w:eastAsia="Calibri" w:hAnsi="Calibri"/>
          <w:b/>
          <w:bCs/>
          <w:sz w:val="22"/>
          <w:szCs w:val="22"/>
        </w:rPr>
        <w:t xml:space="preserve">18.1 Roles.</w:t>
      </w:r>
      <w:r>
        <w:rPr>
          <w:rFonts w:ascii="Calibri" w:cs="Calibri" w:eastAsia="Calibri" w:hAnsi="Calibri"/>
          <w:sz w:val="22"/>
          <w:szCs w:val="22"/>
        </w:rPr>
        <w:t xml:space="preserve"> For Personal Data in the Client Data, the Registered Client is the controller, Automatum acts on the Client's instructions, and OBVG acts as processor on Automatum's documented instructions. Schedule 5 Part C states the processing particulars.</w:t>
      </w:r>
    </w:p>
    <w:p>
      <w:pPr>
        <w:spacing w:after="160" w:before="0" w:line="276"/>
        <w:jc w:val="both"/>
      </w:pPr>
      <w:r>
        <w:rPr>
          <w:rFonts w:ascii="Calibri" w:cs="Calibri" w:eastAsia="Calibri" w:hAnsi="Calibri"/>
          <w:b/>
          <w:bCs/>
          <w:sz w:val="22"/>
          <w:szCs w:val="22"/>
        </w:rPr>
        <w:t xml:space="preserve">18.2 OBVG's obligations.</w:t>
      </w:r>
      <w:r>
        <w:rPr>
          <w:rFonts w:ascii="Calibri" w:cs="Calibri" w:eastAsia="Calibri" w:hAnsi="Calibri"/>
          <w:sz w:val="22"/>
          <w:szCs w:val="22"/>
        </w:rPr>
        <w:t xml:space="preserve"> OBVG will process Personal Data only on Automatum's documented instructions; bind authorized persons to confidentiality; implement the security measures in Schedule 5 Part C and not materially reduce them during the Term; assist Automatum with data subject requests, security, breach notification and impact assessments; and on termination return or delete Personal Data at Automatum's election, certifying deletion.</w:t>
      </w:r>
    </w:p>
    <w:p>
      <w:pPr>
        <w:spacing w:after="160" w:before="0" w:line="276"/>
        <w:jc w:val="both"/>
      </w:pPr>
      <w:r>
        <w:rPr>
          <w:rFonts w:ascii="Calibri" w:cs="Calibri" w:eastAsia="Calibri" w:hAnsi="Calibri"/>
          <w:b/>
          <w:bCs/>
          <w:sz w:val="22"/>
          <w:szCs w:val="22"/>
        </w:rPr>
        <w:t xml:space="preserve">18.3 Subprocessors.</w:t>
      </w:r>
      <w:r>
        <w:rPr>
          <w:rFonts w:ascii="Calibri" w:cs="Calibri" w:eastAsia="Calibri" w:hAnsi="Calibri"/>
          <w:sz w:val="22"/>
          <w:szCs w:val="22"/>
        </w:rPr>
        <w:t xml:space="preserve"> OBVG may engage subprocessors only from the list in Schedule 5 Part C or with Automatum's prior written consent, will impose equivalent obligations on them, and remains liable for them. OBVG will give 30 days' notice of any proposed addition or replacement, and Automatum may object on reasonable grounds.</w:t>
      </w:r>
    </w:p>
    <w:p>
      <w:pPr>
        <w:spacing w:after="160" w:before="0" w:line="276"/>
        <w:jc w:val="both"/>
      </w:pPr>
      <w:r>
        <w:rPr>
          <w:rFonts w:ascii="Calibri" w:cs="Calibri" w:eastAsia="Calibri" w:hAnsi="Calibri"/>
          <w:b/>
          <w:bCs/>
          <w:sz w:val="22"/>
          <w:szCs w:val="22"/>
        </w:rPr>
        <w:t xml:space="preserve">18.4 Security incidents.</w:t>
      </w:r>
      <w:r>
        <w:rPr>
          <w:rFonts w:ascii="Calibri" w:cs="Calibri" w:eastAsia="Calibri" w:hAnsi="Calibri"/>
          <w:sz w:val="22"/>
          <w:szCs w:val="22"/>
        </w:rPr>
        <w:t xml:space="preserve"> OBVG will notify Automatum without undue delay and within 24 hours of becoming aware of a security incident affecting Client Data or Personal Data, with the information Automatum needs to meet its own notification obligations.</w:t>
      </w:r>
    </w:p>
    <w:p>
      <w:pPr>
        <w:spacing w:after="160" w:before="0" w:line="276"/>
        <w:jc w:val="both"/>
      </w:pPr>
      <w:r>
        <w:rPr>
          <w:rFonts w:ascii="Calibri" w:cs="Calibri" w:eastAsia="Calibri" w:hAnsi="Calibri"/>
          <w:b/>
          <w:bCs/>
          <w:sz w:val="22"/>
          <w:szCs w:val="22"/>
        </w:rPr>
        <w:t xml:space="preserve">18.5 Compliance.</w:t>
      </w:r>
      <w:r>
        <w:rPr>
          <w:rFonts w:ascii="Calibri" w:cs="Calibri" w:eastAsia="Calibri" w:hAnsi="Calibri"/>
          <w:sz w:val="22"/>
          <w:szCs w:val="22"/>
        </w:rPr>
        <w:t xml:space="preserve"> Each Party will comply with Privacy Law applicable to it, and the Parties will promptly execute any further data processing agreement or transfer mechanism a Privacy Law requires.</w:t>
      </w:r>
    </w:p>
    <w:p>
      <w:pPr>
        <w:pStyle w:val="Heading2"/>
        <w:keepNext/>
        <w:spacing w:after="140" w:before="300"/>
      </w:pPr>
      <w:r>
        <w:rPr>
          <w:rFonts w:ascii="Calibri" w:cs="Calibri" w:eastAsia="Calibri" w:hAnsi="Calibri"/>
          <w:b/>
          <w:bCs/>
          <w:sz w:val="24"/>
          <w:szCs w:val="24"/>
        </w:rPr>
        <w:t xml:space="preserve">19. Warranties</w:t>
      </w:r>
    </w:p>
    <w:p>
      <w:pPr>
        <w:spacing w:after="160" w:before="0" w:line="276"/>
        <w:jc w:val="both"/>
      </w:pPr>
      <w:r>
        <w:rPr>
          <w:rFonts w:ascii="Calibri" w:cs="Calibri" w:eastAsia="Calibri" w:hAnsi="Calibri"/>
          <w:b/>
          <w:bCs/>
          <w:sz w:val="22"/>
          <w:szCs w:val="22"/>
        </w:rPr>
        <w:t xml:space="preserve">19.1 Mutual.</w:t>
      </w:r>
      <w:r>
        <w:rPr>
          <w:rFonts w:ascii="Calibri" w:cs="Calibri" w:eastAsia="Calibri" w:hAnsi="Calibri"/>
          <w:sz w:val="22"/>
          <w:szCs w:val="22"/>
        </w:rPr>
        <w:t xml:space="preserve"> Each Party warrants that it is duly organized and validly existing, has full power and authority to enter into and perform this Agreement, and that this Agreement is binding and enforceable against it.</w:t>
      </w:r>
    </w:p>
    <w:p>
      <w:pPr>
        <w:spacing w:after="160" w:before="0" w:line="276"/>
        <w:jc w:val="both"/>
      </w:pPr>
      <w:r>
        <w:rPr>
          <w:rFonts w:ascii="Calibri" w:cs="Calibri" w:eastAsia="Calibri" w:hAnsi="Calibri"/>
          <w:b/>
          <w:bCs/>
          <w:sz w:val="22"/>
          <w:szCs w:val="22"/>
        </w:rPr>
        <w:t xml:space="preserve">19.2 OBVG.</w:t>
      </w:r>
      <w:r>
        <w:rPr>
          <w:rFonts w:ascii="Calibri" w:cs="Calibri" w:eastAsia="Calibri" w:hAnsi="Calibri"/>
          <w:sz w:val="22"/>
          <w:szCs w:val="22"/>
        </w:rPr>
        <w:t xml:space="preserve"> OBVG warrants that it will perform the Services with reasonable skill and care and to good industry practice; that its personnel are suitably skilled, qualified and experienced; that clause 10.1 is accurate; and that the Services and OBVG Materials infringe no third party intellectual property rights.</w:t>
      </w:r>
    </w:p>
    <w:p>
      <w:pPr>
        <w:spacing w:after="160" w:before="0" w:line="276"/>
        <w:jc w:val="both"/>
      </w:pPr>
      <w:r>
        <w:rPr>
          <w:rFonts w:ascii="Calibri" w:cs="Calibri" w:eastAsia="Calibri" w:hAnsi="Calibri"/>
          <w:b/>
          <w:bCs/>
          <w:sz w:val="22"/>
          <w:szCs w:val="22"/>
        </w:rPr>
        <w:t xml:space="preserve">19.3 Automatum.</w:t>
      </w:r>
      <w:r>
        <w:rPr>
          <w:rFonts w:ascii="Calibri" w:cs="Calibri" w:eastAsia="Calibri" w:hAnsi="Calibri"/>
          <w:sz w:val="22"/>
          <w:szCs w:val="22"/>
        </w:rPr>
        <w:t xml:space="preserve"> Automatum warrants that it holds and will maintain the listing, seller of record registration, AWS Partner Network status and entitlements in clause 6.1; that it may grant the license in clause 7.1; and that each Client Agreement for a Registered Client complies with clause 6.5.</w:t>
      </w:r>
    </w:p>
    <w:p>
      <w:pPr>
        <w:spacing w:after="160" w:before="0" w:line="276"/>
        <w:jc w:val="both"/>
      </w:pPr>
      <w:r>
        <w:rPr>
          <w:rFonts w:ascii="Calibri" w:cs="Calibri" w:eastAsia="Calibri" w:hAnsi="Calibri"/>
          <w:b/>
          <w:bCs/>
          <w:sz w:val="22"/>
          <w:szCs w:val="22"/>
        </w:rPr>
        <w:t xml:space="preserve">19.4 Compliance covenant.</w:t>
      </w:r>
      <w:r>
        <w:rPr>
          <w:rFonts w:ascii="Calibri" w:cs="Calibri" w:eastAsia="Calibri" w:hAnsi="Calibri"/>
          <w:sz w:val="22"/>
          <w:szCs w:val="22"/>
        </w:rPr>
        <w:t xml:space="preserve"> Each Party will comply with applicable anti-bribery and anti-corruption laws including the United States Foreign Corrupt Practices Act, applicable sanctions and export control laws, and applicable modern slavery laws. OBVG will apply the partner due diligence in clause 5.1(a), will not onboard a partner owned or controlled by a government official without Automatum's prior written consent, and will maintain records of commission payments available to audit under clause 12.4.</w:t>
      </w:r>
    </w:p>
    <w:p>
      <w:pPr>
        <w:spacing w:after="160" w:before="0" w:line="276"/>
        <w:jc w:val="both"/>
      </w:pPr>
      <w:r>
        <w:rPr>
          <w:rFonts w:ascii="Calibri" w:cs="Calibri" w:eastAsia="Calibri" w:hAnsi="Calibri"/>
          <w:b/>
          <w:bCs/>
          <w:sz w:val="22"/>
          <w:szCs w:val="22"/>
        </w:rPr>
        <w:t xml:space="preserve">19.5 Disclaimer.</w:t>
      </w:r>
      <w:r>
        <w:rPr>
          <w:rFonts w:ascii="Calibri" w:cs="Calibri" w:eastAsia="Calibri" w:hAnsi="Calibri"/>
          <w:sz w:val="22"/>
          <w:szCs w:val="22"/>
        </w:rPr>
        <w:t xml:space="preserve"> EXCEPT AS EXPRESSLY SET OUT IN THIS AGREEMENT, EACH PARTY DISCLAIMS ALL WARRANTIES, EXPRESS, IMPLIED OR STATUTORY, INCLUDING MERCHANTABILITY, FITNESS FOR A PARTICULAR PURPOSE AND NON-INFRINGEMENT. NEITHER PARTY WARRANTS ANY OUTCOME, INCLUDING ANY NUMBER OF PARTNERS RECRUITED, AUTHORIZED, ISSUING OFFERS OR TRANSACTING, OR ANY LEVEL OF REVENUE.</w:t>
      </w:r>
    </w:p>
    <w:p>
      <w:pPr>
        <w:pStyle w:val="Heading2"/>
        <w:keepNext/>
        <w:spacing w:after="140" w:before="300"/>
      </w:pPr>
      <w:r>
        <w:rPr>
          <w:rFonts w:ascii="Calibri" w:cs="Calibri" w:eastAsia="Calibri" w:hAnsi="Calibri"/>
          <w:b/>
          <w:bCs/>
          <w:sz w:val="24"/>
          <w:szCs w:val="24"/>
        </w:rPr>
        <w:t xml:space="preserve">20. Indemnities</w:t>
      </w:r>
    </w:p>
    <w:p>
      <w:pPr>
        <w:spacing w:after="160" w:before="0" w:line="276"/>
        <w:jc w:val="both"/>
      </w:pPr>
      <w:r>
        <w:rPr>
          <w:rFonts w:ascii="Calibri" w:cs="Calibri" w:eastAsia="Calibri" w:hAnsi="Calibri"/>
          <w:b/>
          <w:bCs/>
          <w:sz w:val="22"/>
          <w:szCs w:val="22"/>
        </w:rPr>
        <w:t xml:space="preserve">20.1 OBVG.</w:t>
      </w:r>
      <w:r>
        <w:rPr>
          <w:rFonts w:ascii="Calibri" w:cs="Calibri" w:eastAsia="Calibri" w:hAnsi="Calibri"/>
          <w:sz w:val="22"/>
          <w:szCs w:val="22"/>
        </w:rPr>
        <w:t xml:space="preserve"> OBVG will defend Automatum against any third party claim, and indemnify it against Losses finally awarded or agreed in settlement, arising from infringement of intellectual property rights by the Services or OBVG Materials; OBVG's breach of clause 18; its breach of an AWS Program Term; its breach of clause 15; and any claim by OBVG's personnel that they are or were employed by Automatum.</w:t>
      </w:r>
    </w:p>
    <w:p>
      <w:pPr>
        <w:spacing w:after="160" w:before="0" w:line="276"/>
        <w:jc w:val="both"/>
      </w:pPr>
      <w:r>
        <w:rPr>
          <w:rFonts w:ascii="Calibri" w:cs="Calibri" w:eastAsia="Calibri" w:hAnsi="Calibri"/>
          <w:b/>
          <w:bCs/>
          <w:sz w:val="22"/>
          <w:szCs w:val="22"/>
        </w:rPr>
        <w:t xml:space="preserve">20.2 Automatum.</w:t>
      </w:r>
      <w:r>
        <w:rPr>
          <w:rFonts w:ascii="Calibri" w:cs="Calibri" w:eastAsia="Calibri" w:hAnsi="Calibri"/>
          <w:sz w:val="22"/>
          <w:szCs w:val="22"/>
        </w:rPr>
        <w:t xml:space="preserve"> Automatum will defend OBVG against any third party claim, and indemnify it against Losses finally awarded or agreed in settlement, arising from Automatum's breach of clause 6.5 or 6.6, including any commitment made to a Client beyond Schedules 1 and 4; its loss of, or a defect in, the listing, seller of record position or AWS Partner Network entitlements; infringement of intellectual property rights by the Automatum Brand; and its breach of an AWS Program Term.</w:t>
      </w:r>
    </w:p>
    <w:p>
      <w:pPr>
        <w:spacing w:after="160" w:before="0" w:line="276"/>
        <w:jc w:val="both"/>
      </w:pPr>
      <w:r>
        <w:rPr>
          <w:rFonts w:ascii="Calibri" w:cs="Calibri" w:eastAsia="Calibri" w:hAnsi="Calibri"/>
          <w:b/>
          <w:bCs/>
          <w:sz w:val="22"/>
          <w:szCs w:val="22"/>
        </w:rPr>
        <w:t xml:space="preserve">20.3 Conduct.</w:t>
      </w:r>
      <w:r>
        <w:rPr>
          <w:rFonts w:ascii="Calibri" w:cs="Calibri" w:eastAsia="Calibri" w:hAnsi="Calibri"/>
          <w:sz w:val="22"/>
          <w:szCs w:val="22"/>
        </w:rPr>
        <w:t xml:space="preserve"> The indemnified Party will notify promptly, give sole control of defense and settlement, and cooperate reasonably at the indemnifying Party's cost. The indemnifying Party will not settle in a way imposing a non-indemnified obligation or admission of liability without consent. Late notice reduces the indemnity only to the extent of resulting prejudice.</w:t>
      </w:r>
    </w:p>
    <w:p>
      <w:pPr>
        <w:pStyle w:val="Heading2"/>
        <w:keepNext/>
        <w:spacing w:after="140" w:before="300"/>
      </w:pPr>
      <w:r>
        <w:rPr>
          <w:rFonts w:ascii="Calibri" w:cs="Calibri" w:eastAsia="Calibri" w:hAnsi="Calibri"/>
          <w:b/>
          <w:bCs/>
          <w:sz w:val="24"/>
          <w:szCs w:val="24"/>
        </w:rPr>
        <w:t xml:space="preserve">21. Limitation of Liability</w:t>
      </w:r>
    </w:p>
    <w:p>
      <w:pPr>
        <w:spacing w:after="160" w:before="0" w:line="276"/>
        <w:jc w:val="both"/>
      </w:pPr>
      <w:r>
        <w:rPr>
          <w:rFonts w:ascii="Calibri" w:cs="Calibri" w:eastAsia="Calibri" w:hAnsi="Calibri"/>
          <w:b/>
          <w:bCs/>
          <w:sz w:val="22"/>
          <w:szCs w:val="22"/>
        </w:rPr>
        <w:t xml:space="preserve">21.1 Uncapped.</w:t>
      </w:r>
      <w:r>
        <w:rPr>
          <w:rFonts w:ascii="Calibri" w:cs="Calibri" w:eastAsia="Calibri" w:hAnsi="Calibri"/>
          <w:sz w:val="22"/>
          <w:szCs w:val="22"/>
        </w:rPr>
        <w:t xml:space="preserve"> Nothing limits liability for death or personal injury caused by negligence, for fraud or fraudulent misrepresentation, or for any liability that cannot lawfully be limited.</w:t>
      </w:r>
    </w:p>
    <w:p>
      <w:pPr>
        <w:spacing w:after="160" w:before="0" w:line="276"/>
        <w:jc w:val="both"/>
      </w:pPr>
      <w:r>
        <w:rPr>
          <w:rFonts w:ascii="Calibri" w:cs="Calibri" w:eastAsia="Calibri" w:hAnsi="Calibri"/>
          <w:b/>
          <w:bCs/>
          <w:sz w:val="22"/>
          <w:szCs w:val="22"/>
        </w:rPr>
        <w:t xml:space="preserve">21.2 Excluded losses.</w:t>
      </w:r>
      <w:r>
        <w:rPr>
          <w:rFonts w:ascii="Calibri" w:cs="Calibri" w:eastAsia="Calibri" w:hAnsi="Calibri"/>
          <w:sz w:val="22"/>
          <w:szCs w:val="22"/>
        </w:rPr>
        <w:t xml:space="preserve"> Subject to clauses 21.1 and 21.4, neither Party is liable for indirect, incidental, special, punitive or consequential loss, or for loss of profit, revenue, anticipated savings, goodwill or business opportunity.</w:t>
      </w:r>
    </w:p>
    <w:p>
      <w:pPr>
        <w:spacing w:after="160" w:before="0" w:line="276"/>
        <w:jc w:val="both"/>
      </w:pPr>
      <w:r>
        <w:rPr>
          <w:rFonts w:ascii="Calibri" w:cs="Calibri" w:eastAsia="Calibri" w:hAnsi="Calibri"/>
          <w:b/>
          <w:bCs/>
          <w:sz w:val="22"/>
          <w:szCs w:val="22"/>
        </w:rPr>
        <w:t xml:space="preserve">21.3 Cap.</w:t>
      </w:r>
      <w:r>
        <w:rPr>
          <w:rFonts w:ascii="Calibri" w:cs="Calibri" w:eastAsia="Calibri" w:hAnsi="Calibri"/>
          <w:sz w:val="22"/>
          <w:szCs w:val="22"/>
        </w:rPr>
        <w:t xml:space="preserve"> Subject to clauses 21.1 and 21.4, each Party's total aggregate liability is limited, per Engagement Order, to the greater of 100% of the OBVG Service Revenue paid and payable for that Engagement Order in the 12 months before the event and $50,000.</w:t>
      </w:r>
    </w:p>
    <w:p>
      <w:pPr>
        <w:spacing w:after="160" w:before="0" w:line="276"/>
        <w:jc w:val="both"/>
      </w:pPr>
      <w:r>
        <w:rPr>
          <w:rFonts w:ascii="Calibri" w:cs="Calibri" w:eastAsia="Calibri" w:hAnsi="Calibri"/>
          <w:b/>
          <w:bCs/>
          <w:sz w:val="22"/>
          <w:szCs w:val="22"/>
        </w:rPr>
        <w:t xml:space="preserve">21.4 Super-cap.</w:t>
      </w:r>
      <w:r>
        <w:rPr>
          <w:rFonts w:ascii="Calibri" w:cs="Calibri" w:eastAsia="Calibri" w:hAnsi="Calibri"/>
          <w:sz w:val="22"/>
          <w:szCs w:val="22"/>
        </w:rPr>
        <w:t xml:space="preserve"> Liability under clause 20, and for breach of clause 15, 17 or 18, is limited to the greater of 200% of the OBVG Service Revenue paid and payable in the 12 months before the event and $250,000.</w:t>
      </w:r>
    </w:p>
    <w:p>
      <w:pPr>
        <w:spacing w:after="160" w:before="0" w:line="276"/>
        <w:jc w:val="both"/>
      </w:pPr>
      <w:r>
        <w:rPr>
          <w:rFonts w:ascii="Calibri" w:cs="Calibri" w:eastAsia="Calibri" w:hAnsi="Calibri"/>
          <w:b/>
          <w:bCs/>
          <w:sz w:val="22"/>
          <w:szCs w:val="22"/>
        </w:rPr>
        <w:t xml:space="preserve">21.5 Direct loss.</w:t>
      </w:r>
      <w:r>
        <w:rPr>
          <w:rFonts w:ascii="Calibri" w:cs="Calibri" w:eastAsia="Calibri" w:hAnsi="Calibri"/>
          <w:sz w:val="22"/>
          <w:szCs w:val="22"/>
        </w:rPr>
        <w:t xml:space="preserve"> Notwithstanding clause 21.2, the following are recoverable as direct loss: Service Credits flowing down under clause 8.4 within the caps in clause 8.5; the cost of procuring replacement services after OBVG's default, up to the cap in clause 21.3; and amounts payable under clauses 15.5 and 15.6.</w:t>
      </w:r>
    </w:p>
    <w:p>
      <w:pPr>
        <w:spacing w:after="160" w:before="0" w:line="276"/>
        <w:jc w:val="both"/>
      </w:pPr>
      <w:r>
        <w:rPr>
          <w:rFonts w:ascii="Calibri" w:cs="Calibri" w:eastAsia="Calibri" w:hAnsi="Calibri"/>
          <w:b/>
          <w:bCs/>
          <w:sz w:val="22"/>
          <w:szCs w:val="22"/>
        </w:rPr>
        <w:t xml:space="preserve">21.6 Fees.</w:t>
      </w:r>
      <w:r>
        <w:rPr>
          <w:rFonts w:ascii="Calibri" w:cs="Calibri" w:eastAsia="Calibri" w:hAnsi="Calibri"/>
          <w:sz w:val="22"/>
          <w:szCs w:val="22"/>
        </w:rPr>
        <w:t xml:space="preserve"> Amounts properly payable for the Services are not subject to these caps.</w:t>
      </w:r>
    </w:p>
    <w:p>
      <w:pPr>
        <w:pStyle w:val="Heading2"/>
        <w:keepNext/>
        <w:spacing w:after="140" w:before="300"/>
      </w:pPr>
      <w:r>
        <w:rPr>
          <w:rFonts w:ascii="Calibri" w:cs="Calibri" w:eastAsia="Calibri" w:hAnsi="Calibri"/>
          <w:b/>
          <w:bCs/>
          <w:sz w:val="24"/>
          <w:szCs w:val="24"/>
        </w:rPr>
        <w:t xml:space="preserve">22. Insurance</w:t>
      </w:r>
    </w:p>
    <w:p>
      <w:pPr>
        <w:spacing w:after="160" w:before="0" w:line="276"/>
        <w:jc w:val="both"/>
      </w:pPr>
      <w:r>
        <w:rPr>
          <w:rFonts w:ascii="Calibri" w:cs="Calibri" w:eastAsia="Calibri" w:hAnsi="Calibri"/>
          <w:sz w:val="22"/>
          <w:szCs w:val="22"/>
        </w:rPr>
        <w:t xml:space="preserve">OBVG will maintain, with insurers of good standing, commercial general liability, professional indemnity or errors and omissions, cyber liability, and employer's liability insurance, each at the limit in Schedule 8, for the Term and 2 years after, will provide certificates on request, and will notify Automatum promptly if any required cover lapses or is materially reduced.</w:t>
      </w:r>
    </w:p>
    <w:p>
      <w:pPr>
        <w:pStyle w:val="Heading2"/>
        <w:keepNext/>
        <w:spacing w:after="140" w:before="300"/>
      </w:pPr>
      <w:r>
        <w:rPr>
          <w:rFonts w:ascii="Calibri" w:cs="Calibri" w:eastAsia="Calibri" w:hAnsi="Calibri"/>
          <w:b/>
          <w:bCs/>
          <w:sz w:val="24"/>
          <w:szCs w:val="24"/>
        </w:rPr>
        <w:t xml:space="preserve">23. Term and Termination</w:t>
      </w:r>
    </w:p>
    <w:p>
      <w:pPr>
        <w:spacing w:after="160" w:before="0" w:line="276"/>
        <w:jc w:val="both"/>
      </w:pPr>
      <w:r>
        <w:rPr>
          <w:rFonts w:ascii="Calibri" w:cs="Calibri" w:eastAsia="Calibri" w:hAnsi="Calibri"/>
          <w:b/>
          <w:bCs/>
          <w:sz w:val="22"/>
          <w:szCs w:val="22"/>
        </w:rPr>
        <w:t xml:space="preserve">23.1 Term.</w:t>
      </w:r>
      <w:r>
        <w:rPr>
          <w:rFonts w:ascii="Calibri" w:cs="Calibri" w:eastAsia="Calibri" w:hAnsi="Calibri"/>
          <w:sz w:val="22"/>
          <w:szCs w:val="22"/>
        </w:rPr>
        <w:t xml:space="preserve"> This Agreement begins on the Effective Date and continues for 24 months (the "Initial Term"), then renews for successive 12-month periods unless either Party gives 90 days' notice before the end of the then-current period. "Term" means the Initial Term with any renewal.</w:t>
      </w:r>
    </w:p>
    <w:p>
      <w:pPr>
        <w:spacing w:after="160" w:before="0" w:line="276"/>
        <w:jc w:val="both"/>
      </w:pPr>
      <w:r>
        <w:rPr>
          <w:rFonts w:ascii="Calibri" w:cs="Calibri" w:eastAsia="Calibri" w:hAnsi="Calibri"/>
          <w:b/>
          <w:bCs/>
          <w:sz w:val="22"/>
          <w:szCs w:val="22"/>
        </w:rPr>
        <w:t xml:space="preserve">23.2 Continuation of Engagement Orders.</w:t>
      </w:r>
      <w:r>
        <w:rPr>
          <w:rFonts w:ascii="Calibri" w:cs="Calibri" w:eastAsia="Calibri" w:hAnsi="Calibri"/>
          <w:sz w:val="22"/>
          <w:szCs w:val="22"/>
        </w:rPr>
        <w:t xml:space="preserve"> Expiry or termination does not terminate an Engagement Order then in effect. Each continues to its natural expiry and this Agreement continues to govern it, unless that Engagement Order is itself terminated under this clause.</w:t>
      </w:r>
    </w:p>
    <w:p>
      <w:pPr>
        <w:spacing w:after="160" w:before="0" w:line="276"/>
        <w:jc w:val="both"/>
      </w:pPr>
      <w:r>
        <w:rPr>
          <w:rFonts w:ascii="Calibri" w:cs="Calibri" w:eastAsia="Calibri" w:hAnsi="Calibri"/>
          <w:b/>
          <w:bCs/>
          <w:sz w:val="22"/>
          <w:szCs w:val="22"/>
        </w:rPr>
        <w:t xml:space="preserve">23.3 Convenience.</w:t>
      </w:r>
      <w:r>
        <w:rPr>
          <w:rFonts w:ascii="Calibri" w:cs="Calibri" w:eastAsia="Calibri" w:hAnsi="Calibri"/>
          <w:sz w:val="22"/>
          <w:szCs w:val="22"/>
        </w:rPr>
        <w:t xml:space="preserve"> Either Party may terminate this Agreement on 90 days' notice. Clause 23.2 applies.</w:t>
      </w:r>
    </w:p>
    <w:p>
      <w:pPr>
        <w:spacing w:after="160" w:before="0" w:line="276"/>
        <w:jc w:val="both"/>
      </w:pPr>
      <w:r>
        <w:rPr>
          <w:rFonts w:ascii="Calibri" w:cs="Calibri" w:eastAsia="Calibri" w:hAnsi="Calibri"/>
          <w:b/>
          <w:bCs/>
          <w:sz w:val="22"/>
          <w:szCs w:val="22"/>
        </w:rPr>
        <w:t xml:space="preserve">23.4 Cause.</w:t>
      </w:r>
      <w:r>
        <w:rPr>
          <w:rFonts w:ascii="Calibri" w:cs="Calibri" w:eastAsia="Calibri" w:hAnsi="Calibri"/>
          <w:sz w:val="22"/>
          <w:szCs w:val="22"/>
        </w:rPr>
        <w:t xml:space="preserve"> Either Party may terminate this Agreement, or a single Engagement Order, immediately on notice if the other commits a material breach that is incapable of remedy, or that is capable of remedy and is not remedied within 30 days of notice. Automatum may terminate a single Engagement Order under clause 8.7, and OBVG under clause 11.7.</w:t>
      </w:r>
    </w:p>
    <w:p>
      <w:pPr>
        <w:spacing w:after="160" w:before="0" w:line="276"/>
        <w:jc w:val="both"/>
      </w:pPr>
      <w:r>
        <w:rPr>
          <w:rFonts w:ascii="Calibri" w:cs="Calibri" w:eastAsia="Calibri" w:hAnsi="Calibri"/>
          <w:b/>
          <w:bCs/>
          <w:sz w:val="22"/>
          <w:szCs w:val="22"/>
        </w:rPr>
        <w:t xml:space="preserve">23.5 Insolvency.</w:t>
      </w:r>
      <w:r>
        <w:rPr>
          <w:rFonts w:ascii="Calibri" w:cs="Calibri" w:eastAsia="Calibri" w:hAnsi="Calibri"/>
          <w:sz w:val="22"/>
          <w:szCs w:val="22"/>
        </w:rPr>
        <w:t xml:space="preserve"> Either Party may terminate immediately on notice if the other enters an insolvency process, has a receiver, administrator or trustee appointed over a material part of its assets, makes a general assignment for the benefit of creditors, or ceases business. Clause 10.9 applies.</w:t>
      </w:r>
    </w:p>
    <w:p>
      <w:pPr>
        <w:spacing w:after="160" w:before="0" w:line="276"/>
        <w:jc w:val="both"/>
      </w:pPr>
      <w:r>
        <w:rPr>
          <w:rFonts w:ascii="Calibri" w:cs="Calibri" w:eastAsia="Calibri" w:hAnsi="Calibri"/>
          <w:b/>
          <w:bCs/>
          <w:sz w:val="22"/>
          <w:szCs w:val="22"/>
        </w:rPr>
        <w:t xml:space="preserve">23.6 Survival.</w:t>
      </w:r>
      <w:r>
        <w:rPr>
          <w:rFonts w:ascii="Calibri" w:cs="Calibri" w:eastAsia="Calibri" w:hAnsi="Calibri"/>
          <w:sz w:val="22"/>
          <w:szCs w:val="22"/>
        </w:rPr>
        <w:t xml:space="preserve"> Clauses 1, 2, 7.1, 7.7, 10.3, 10.5, 10.7, 10.8, 10.9, 11 for amounts accrued, 12.4, 15, 16, 17, 18, 20, 21, 22, 23.6, 24, 26 and 27 survive termination, together with any other provision that by its nature is intended to survive termination.</w:t>
      </w:r>
    </w:p>
    <w:p>
      <w:pPr>
        <w:pStyle w:val="Heading2"/>
        <w:keepNext/>
        <w:spacing w:after="140" w:before="300"/>
      </w:pPr>
      <w:r>
        <w:rPr>
          <w:rFonts w:ascii="Calibri" w:cs="Calibri" w:eastAsia="Calibri" w:hAnsi="Calibri"/>
          <w:b/>
          <w:bCs/>
          <w:sz w:val="24"/>
          <w:szCs w:val="24"/>
        </w:rPr>
        <w:t xml:space="preserve">24. Transition and Run-Off</w:t>
      </w:r>
    </w:p>
    <w:p>
      <w:pPr>
        <w:spacing w:after="160" w:before="0" w:line="276"/>
        <w:jc w:val="both"/>
      </w:pPr>
      <w:r>
        <w:rPr>
          <w:rFonts w:ascii="Calibri" w:cs="Calibri" w:eastAsia="Calibri" w:hAnsi="Calibri"/>
          <w:b/>
          <w:bCs/>
          <w:sz w:val="22"/>
          <w:szCs w:val="22"/>
        </w:rPr>
        <w:t xml:space="preserve">24.1 Transition period.</w:t>
      </w:r>
      <w:r>
        <w:rPr>
          <w:rFonts w:ascii="Calibri" w:cs="Calibri" w:eastAsia="Calibri" w:hAnsi="Calibri"/>
          <w:sz w:val="22"/>
          <w:szCs w:val="22"/>
        </w:rPr>
        <w:t xml:space="preserve"> On expiry or termination of this Agreement or an Engagement Order, OBVG will provide transition assistance for 90 days, extendable by Automatum to 180 days on notice given before the initial period ends. It is at OBVG's cost where termination is for OBVG's breach or insolvency, and at the Schedule 2 rate card in every other case.</w:t>
      </w:r>
    </w:p>
    <w:p>
      <w:pPr>
        <w:spacing w:after="160" w:before="0" w:line="276"/>
        <w:jc w:val="both"/>
      </w:pPr>
      <w:r>
        <w:rPr>
          <w:rFonts w:ascii="Calibri" w:cs="Calibri" w:eastAsia="Calibri" w:hAnsi="Calibri"/>
          <w:b/>
          <w:bCs/>
          <w:sz w:val="22"/>
          <w:szCs w:val="22"/>
        </w:rPr>
        <w:t xml:space="preserve">24.2 Deliverables.</w:t>
      </w:r>
      <w:r>
        <w:rPr>
          <w:rFonts w:ascii="Calibri" w:cs="Calibri" w:eastAsia="Calibri" w:hAnsi="Calibri"/>
          <w:sz w:val="22"/>
          <w:szCs w:val="22"/>
        </w:rPr>
        <w:t xml:space="preserve"> Transition assistance comprises a verified full export of the Client Data under clause 10.4 with a restore test; knowledge transfer; handover of in-flight deal registrations, CPPOs and Selling Authorization requests; run-out and reconciliation of accrued partner commissions; introductions to the Recruited Partner roster on Automatum-branded correspondence; disconnection of any CRM synchronization with a certificate of deletion; and continuation of the license in clause 16.4.</w:t>
      </w:r>
    </w:p>
    <w:p>
      <w:pPr>
        <w:spacing w:after="160" w:before="0" w:line="276"/>
        <w:jc w:val="both"/>
      </w:pPr>
      <w:r>
        <w:rPr>
          <w:rFonts w:ascii="Calibri" w:cs="Calibri" w:eastAsia="Calibri" w:hAnsi="Calibri"/>
          <w:b/>
          <w:bCs/>
          <w:sz w:val="22"/>
          <w:szCs w:val="22"/>
        </w:rPr>
        <w:t xml:space="preserve">24.3 Conduct.</w:t>
      </w:r>
      <w:r>
        <w:rPr>
          <w:rFonts w:ascii="Calibri" w:cs="Calibri" w:eastAsia="Calibri" w:hAnsi="Calibri"/>
          <w:sz w:val="22"/>
          <w:szCs w:val="22"/>
        </w:rPr>
        <w:t xml:space="preserve"> During the transition period, OBVG continues to perform the Services, the service levels continue to apply, and clause 7 continues to apply so that no Client or Recruited Partner learns of OBVG's role or of the termination except as Automatum directs.</w:t>
      </w:r>
    </w:p>
    <w:p>
      <w:pPr>
        <w:pStyle w:val="Heading2"/>
        <w:keepNext/>
        <w:spacing w:after="140" w:before="300"/>
      </w:pPr>
      <w:r>
        <w:rPr>
          <w:rFonts w:ascii="Calibri" w:cs="Calibri" w:eastAsia="Calibri" w:hAnsi="Calibri"/>
          <w:b/>
          <w:bCs/>
          <w:sz w:val="24"/>
          <w:szCs w:val="24"/>
        </w:rPr>
        <w:t xml:space="preserve">25. Force Majeure</w:t>
      </w:r>
    </w:p>
    <w:p>
      <w:pPr>
        <w:spacing w:after="160" w:before="0" w:line="276"/>
        <w:jc w:val="both"/>
      </w:pPr>
      <w:r>
        <w:rPr>
          <w:rFonts w:ascii="Calibri" w:cs="Calibri" w:eastAsia="Calibri" w:hAnsi="Calibri"/>
          <w:b/>
          <w:bCs/>
          <w:sz w:val="22"/>
          <w:szCs w:val="22"/>
        </w:rPr>
        <w:t xml:space="preserve">25.1</w:t>
      </w:r>
      <w:r>
        <w:rPr>
          <w:rFonts w:ascii="Calibri" w:cs="Calibri" w:eastAsia="Calibri" w:hAnsi="Calibri"/>
          <w:sz w:val="22"/>
          <w:szCs w:val="22"/>
        </w:rPr>
        <w:t xml:space="preserve"> Neither Party is liable for failure or delay caused by an event beyond its reasonable control, including act of God, war, terrorism, civil unrest, epidemic, strike affecting a third party, failure of a utility or telecommunications provider, and an unplanned AWS platform outage (a "Force Majeure Event").</w:t>
      </w:r>
    </w:p>
    <w:p>
      <w:pPr>
        <w:spacing w:after="160" w:before="0" w:line="276"/>
        <w:jc w:val="both"/>
      </w:pPr>
      <w:r>
        <w:rPr>
          <w:rFonts w:ascii="Calibri" w:cs="Calibri" w:eastAsia="Calibri" w:hAnsi="Calibri"/>
          <w:b/>
          <w:bCs/>
          <w:sz w:val="22"/>
          <w:szCs w:val="22"/>
        </w:rPr>
        <w:t xml:space="preserve">25.2</w:t>
      </w:r>
      <w:r>
        <w:rPr>
          <w:rFonts w:ascii="Calibri" w:cs="Calibri" w:eastAsia="Calibri" w:hAnsi="Calibri"/>
          <w:sz w:val="22"/>
          <w:szCs w:val="22"/>
        </w:rPr>
        <w:t xml:space="preserve"> A change by AWS to an AWS Program Term, a Marketplace mechanism or a program rule is not a Force Majeure Event; clauses 13.6 and 14.3 govern it.</w:t>
      </w:r>
    </w:p>
    <w:p>
      <w:pPr>
        <w:spacing w:after="160" w:before="0" w:line="276"/>
        <w:jc w:val="both"/>
      </w:pPr>
      <w:r>
        <w:rPr>
          <w:rFonts w:ascii="Calibri" w:cs="Calibri" w:eastAsia="Calibri" w:hAnsi="Calibri"/>
          <w:b/>
          <w:bCs/>
          <w:sz w:val="22"/>
          <w:szCs w:val="22"/>
        </w:rPr>
        <w:t xml:space="preserve">25.3</w:t>
      </w:r>
      <w:r>
        <w:rPr>
          <w:rFonts w:ascii="Calibri" w:cs="Calibri" w:eastAsia="Calibri" w:hAnsi="Calibri"/>
          <w:sz w:val="22"/>
          <w:szCs w:val="22"/>
        </w:rPr>
        <w:t xml:space="preserve"> The affected Party will notify promptly and use reasonable efforts to mitigate. If a Force Majeure Event continues 60 consecutive days, either Party may terminate the affected Engagement Order on 30 days' notice.</w:t>
      </w:r>
    </w:p>
    <w:p>
      <w:pPr>
        <w:pStyle w:val="Heading2"/>
        <w:keepNext/>
        <w:spacing w:after="140" w:before="300"/>
      </w:pPr>
      <w:r>
        <w:rPr>
          <w:rFonts w:ascii="Calibri" w:cs="Calibri" w:eastAsia="Calibri" w:hAnsi="Calibri"/>
          <w:b/>
          <w:bCs/>
          <w:sz w:val="24"/>
          <w:szCs w:val="24"/>
        </w:rPr>
        <w:t xml:space="preserve">26. General</w:t>
      </w:r>
    </w:p>
    <w:p>
      <w:pPr>
        <w:spacing w:after="160" w:before="0" w:line="276"/>
        <w:jc w:val="both"/>
      </w:pPr>
      <w:r>
        <w:rPr>
          <w:rFonts w:ascii="Calibri" w:cs="Calibri" w:eastAsia="Calibri" w:hAnsi="Calibri"/>
          <w:b/>
          <w:bCs/>
          <w:sz w:val="22"/>
          <w:szCs w:val="22"/>
        </w:rPr>
        <w:t xml:space="preserve">26.1 Governance and escalation.</w:t>
      </w:r>
      <w:r>
        <w:rPr>
          <w:rFonts w:ascii="Calibri" w:cs="Calibri" w:eastAsia="Calibri" w:hAnsi="Calibri"/>
          <w:sz w:val="22"/>
          <w:szCs w:val="22"/>
        </w:rPr>
        <w:t xml:space="preserve"> The Parties will hold a monthly service review and a quarterly business review, attended by the relationship managers in Schedule 7. A dispute is escalated first to those managers, then to an executive of each Party, each stage allowing 10 Business Days. Neither Party may commence proceedings, other than for injunctive relief under clause 15.7, until escalation is exhausted.</w:t>
      </w:r>
    </w:p>
    <w:p>
      <w:pPr>
        <w:spacing w:after="160" w:before="0" w:line="276"/>
        <w:jc w:val="both"/>
      </w:pPr>
      <w:r>
        <w:rPr>
          <w:rFonts w:ascii="Calibri" w:cs="Calibri" w:eastAsia="Calibri" w:hAnsi="Calibri"/>
          <w:b/>
          <w:bCs/>
          <w:sz w:val="22"/>
          <w:szCs w:val="22"/>
        </w:rPr>
        <w:t xml:space="preserve">26.2 Independent contractors.</w:t>
      </w:r>
      <w:r>
        <w:rPr>
          <w:rFonts w:ascii="Calibri" w:cs="Calibri" w:eastAsia="Calibri" w:hAnsi="Calibri"/>
          <w:sz w:val="22"/>
          <w:szCs w:val="22"/>
        </w:rPr>
        <w:t xml:space="preserve"> The Parties are independent contractors. This Agreement creates no partnership, joint venture, franchise, agency or employment relationship, except the limited agency in clause 5.3 and any agency Automatum expressly grants in writing.</w:t>
      </w:r>
    </w:p>
    <w:p>
      <w:pPr>
        <w:spacing w:after="160" w:before="0" w:line="276"/>
        <w:jc w:val="both"/>
      </w:pPr>
      <w:r>
        <w:rPr>
          <w:rFonts w:ascii="Calibri" w:cs="Calibri" w:eastAsia="Calibri" w:hAnsi="Calibri"/>
          <w:b/>
          <w:bCs/>
          <w:sz w:val="22"/>
          <w:szCs w:val="22"/>
        </w:rPr>
        <w:t xml:space="preserve">26.3 Assignment.</w:t>
      </w:r>
      <w:r>
        <w:rPr>
          <w:rFonts w:ascii="Calibri" w:cs="Calibri" w:eastAsia="Calibri" w:hAnsi="Calibri"/>
          <w:sz w:val="22"/>
          <w:szCs w:val="22"/>
        </w:rPr>
        <w:t xml:space="preserve"> Neither Party may assign or transfer this Agreement without the other's prior written consent, not to be unreasonably withheld, except to an affiliate or a successor in a merger or sale of substantially all its assets, on notice. If a Party is acquired by a competitor of the other, the other may terminate on 60 days' notice, and clause 23.2 applies.</w:t>
      </w:r>
    </w:p>
    <w:p>
      <w:pPr>
        <w:spacing w:after="160" w:before="0" w:line="276"/>
        <w:jc w:val="both"/>
      </w:pPr>
      <w:r>
        <w:rPr>
          <w:rFonts w:ascii="Calibri" w:cs="Calibri" w:eastAsia="Calibri" w:hAnsi="Calibri"/>
          <w:b/>
          <w:bCs/>
          <w:sz w:val="22"/>
          <w:szCs w:val="22"/>
        </w:rPr>
        <w:t xml:space="preserve">26.4 Notices.</w:t>
      </w:r>
      <w:r>
        <w:rPr>
          <w:rFonts w:ascii="Calibri" w:cs="Calibri" w:eastAsia="Calibri" w:hAnsi="Calibri"/>
          <w:sz w:val="22"/>
          <w:szCs w:val="22"/>
        </w:rPr>
        <w:t xml:space="preserve"> Notices must be in writing to the addresses in Schedule 8, by hand, by recognized courier, or by email to the address stated for legal notices with a copy by courier, effective on delivery or the next Business Day if delivered outside Business Hours.</w:t>
      </w:r>
    </w:p>
    <w:p>
      <w:pPr>
        <w:spacing w:after="160" w:before="0" w:line="276"/>
        <w:jc w:val="both"/>
      </w:pPr>
      <w:r>
        <w:rPr>
          <w:rFonts w:ascii="Calibri" w:cs="Calibri" w:eastAsia="Calibri" w:hAnsi="Calibri"/>
          <w:b/>
          <w:bCs/>
          <w:sz w:val="22"/>
          <w:szCs w:val="22"/>
        </w:rPr>
        <w:t xml:space="preserve">26.5 Entire agreement.</w:t>
      </w:r>
      <w:r>
        <w:rPr>
          <w:rFonts w:ascii="Calibri" w:cs="Calibri" w:eastAsia="Calibri" w:hAnsi="Calibri"/>
          <w:sz w:val="22"/>
          <w:szCs w:val="22"/>
        </w:rPr>
        <w:t xml:space="preserve"> This Agreement is the entire agreement on its subject matter and supersedes all prior discussions, understandings and representations, none of which binds either Party. Neither Party has relied on any statement not set out in this Agreement. This does not limit liability for fraud.</w:t>
      </w:r>
    </w:p>
    <w:p>
      <w:pPr>
        <w:spacing w:after="160" w:before="0" w:line="276"/>
        <w:jc w:val="both"/>
      </w:pPr>
      <w:r>
        <w:rPr>
          <w:rFonts w:ascii="Calibri" w:cs="Calibri" w:eastAsia="Calibri" w:hAnsi="Calibri"/>
          <w:b/>
          <w:bCs/>
          <w:sz w:val="22"/>
          <w:szCs w:val="22"/>
        </w:rPr>
        <w:t xml:space="preserve">26.6 Amendment, waiver and severability.</w:t>
      </w:r>
      <w:r>
        <w:rPr>
          <w:rFonts w:ascii="Calibri" w:cs="Calibri" w:eastAsia="Calibri" w:hAnsi="Calibri"/>
          <w:sz w:val="22"/>
          <w:szCs w:val="22"/>
        </w:rPr>
        <w:t xml:space="preserve"> An amendment is effective only in writing signed by both Parties or by change order under clause 14.5. A waiver is effective only in writing, and delay in exercising a right is not a waiver. If a provision is held invalid it is modified to the minimum extent needed to make it enforceable, or severed if it cannot be, and the rest continues; clause 15.7 applies to clause 15.</w:t>
      </w:r>
    </w:p>
    <w:p>
      <w:pPr>
        <w:spacing w:after="160" w:before="0" w:line="276"/>
        <w:jc w:val="both"/>
      </w:pPr>
      <w:r>
        <w:rPr>
          <w:rFonts w:ascii="Calibri" w:cs="Calibri" w:eastAsia="Calibri" w:hAnsi="Calibri"/>
          <w:b/>
          <w:bCs/>
          <w:sz w:val="22"/>
          <w:szCs w:val="22"/>
        </w:rPr>
        <w:t xml:space="preserve">26.7 No third party rights.</w:t>
      </w:r>
      <w:r>
        <w:rPr>
          <w:rFonts w:ascii="Calibri" w:cs="Calibri" w:eastAsia="Calibri" w:hAnsi="Calibri"/>
          <w:sz w:val="22"/>
          <w:szCs w:val="22"/>
        </w:rPr>
        <w:t xml:space="preserve"> No person other than the Parties may enforce this Agreement, except that a Registered Client may enforce clause 16.4 to the extent necessary to retain the client-facing deliverables on which its channel operates.</w:t>
      </w:r>
    </w:p>
    <w:p>
      <w:pPr>
        <w:spacing w:after="160" w:before="0" w:line="276"/>
        <w:jc w:val="both"/>
      </w:pPr>
      <w:r>
        <w:rPr>
          <w:rFonts w:ascii="Calibri" w:cs="Calibri" w:eastAsia="Calibri" w:hAnsi="Calibri"/>
          <w:b/>
          <w:bCs/>
          <w:sz w:val="22"/>
          <w:szCs w:val="22"/>
        </w:rPr>
        <w:t xml:space="preserve">26.8 Counterparts.</w:t>
      </w:r>
      <w:r>
        <w:rPr>
          <w:rFonts w:ascii="Calibri" w:cs="Calibri" w:eastAsia="Calibri" w:hAnsi="Calibri"/>
          <w:sz w:val="22"/>
          <w:szCs w:val="22"/>
        </w:rPr>
        <w:t xml:space="preserve"> This Agreement may be executed in counterparts, including by electronic signature, each an original and all together one instrument.</w:t>
      </w:r>
    </w:p>
    <w:p>
      <w:pPr>
        <w:pStyle w:val="Heading2"/>
        <w:keepNext/>
        <w:spacing w:after="140" w:before="300"/>
      </w:pPr>
      <w:r>
        <w:rPr>
          <w:rFonts w:ascii="Calibri" w:cs="Calibri" w:eastAsia="Calibri" w:hAnsi="Calibri"/>
          <w:b/>
          <w:bCs/>
          <w:sz w:val="24"/>
          <w:szCs w:val="24"/>
        </w:rPr>
        <w:t xml:space="preserve">27. Governing Law and Jurisdiction</w:t>
      </w:r>
    </w:p>
    <w:p>
      <w:pPr>
        <w:spacing w:after="160" w:before="0" w:line="276"/>
        <w:jc w:val="both"/>
      </w:pPr>
      <w:r>
        <w:rPr>
          <w:rFonts w:ascii="Calibri" w:cs="Calibri" w:eastAsia="Calibri" w:hAnsi="Calibri"/>
          <w:b/>
          <w:bCs/>
          <w:sz w:val="22"/>
          <w:szCs w:val="22"/>
        </w:rPr>
        <w:t xml:space="preserve">27.1</w:t>
      </w:r>
      <w:r>
        <w:rPr>
          <w:rFonts w:ascii="Calibri" w:cs="Calibri" w:eastAsia="Calibri" w:hAnsi="Calibri"/>
          <w:sz w:val="22"/>
          <w:szCs w:val="22"/>
        </w:rPr>
        <w:t xml:space="preserve"> This Agreement and any dispute arising out of or in connection with it, whether contractual or non-contractual, is governed by the laws of the State of New York, without regard to its conflict of laws rules. The United Nations Convention on Contracts for the International Sale of Goods does not apply.</w:t>
      </w:r>
    </w:p>
    <w:p>
      <w:pPr>
        <w:spacing w:after="160" w:before="0" w:line="276"/>
        <w:jc w:val="both"/>
      </w:pPr>
      <w:r>
        <w:rPr>
          <w:rFonts w:ascii="Calibri" w:cs="Calibri" w:eastAsia="Calibri" w:hAnsi="Calibri"/>
          <w:b/>
          <w:bCs/>
          <w:sz w:val="22"/>
          <w:szCs w:val="22"/>
        </w:rPr>
        <w:t xml:space="preserve">27.2</w:t>
      </w:r>
      <w:r>
        <w:rPr>
          <w:rFonts w:ascii="Calibri" w:cs="Calibri" w:eastAsia="Calibri" w:hAnsi="Calibri"/>
          <w:sz w:val="22"/>
          <w:szCs w:val="22"/>
        </w:rPr>
        <w:t xml:space="preserve"> Subject to clause 26.1, the state and federal courts in New York County, New York have exclusive jurisdiction, and each Party irrevocably submits to it and waives any objection based on venue or forum non conveniens.</w:t>
      </w:r>
    </w:p>
    <w:p>
      <w:pPr>
        <w:spacing w:after="160" w:before="0" w:line="276"/>
        <w:jc w:val="both"/>
      </w:pPr>
      <w:r>
        <w:rPr>
          <w:rFonts w:ascii="Calibri" w:cs="Calibri" w:eastAsia="Calibri" w:hAnsi="Calibri"/>
          <w:b/>
          <w:bCs/>
          <w:sz w:val="22"/>
          <w:szCs w:val="22"/>
        </w:rPr>
        <w:t xml:space="preserve">27.3</w:t>
      </w:r>
      <w:r>
        <w:rPr>
          <w:rFonts w:ascii="Calibri" w:cs="Calibri" w:eastAsia="Calibri" w:hAnsi="Calibri"/>
          <w:sz w:val="22"/>
          <w:szCs w:val="22"/>
        </w:rPr>
        <w:t xml:space="preserve"> EACH PARTY IRREVOCABLY WAIVES ANY RIGHT TO TRIAL BY JURY IN ANY PROCEEDING ARISING OUT OF OR RELATING TO THIS AGREEMENT.</w:t>
      </w:r>
    </w:p>
    <w:p>
      <w:pPr>
        <w:pStyle w:val="Heading1"/>
        <w:pageBreakBefore/>
        <w:spacing w:after="200" w:before="240"/>
        <w:jc w:val="left"/>
      </w:pPr>
      <w:r>
        <w:rPr>
          <w:rFonts w:ascii="Calibri" w:cs="Calibri" w:eastAsia="Calibri" w:hAnsi="Calibri"/>
          <w:b/>
          <w:bCs/>
          <w:sz w:val="28"/>
          <w:szCs w:val="28"/>
        </w:rPr>
        <w:t xml:space="preserve">Schedule 1 - Services Description and Tier Matrix</w:t>
      </w:r>
    </w:p>
    <w:p>
      <w:pPr>
        <w:pStyle w:val="Heading2"/>
        <w:keepNext/>
        <w:spacing w:after="140" w:before="300"/>
      </w:pPr>
      <w:r>
        <w:rPr>
          <w:rFonts w:ascii="Calibri" w:cs="Calibri" w:eastAsia="Calibri" w:hAnsi="Calibri"/>
          <w:b/>
          <w:bCs/>
          <w:sz w:val="24"/>
          <w:szCs w:val="24"/>
        </w:rPr>
        <w:t xml:space="preserve">1. The Solution</w:t>
      </w:r>
    </w:p>
    <w:p>
      <w:pPr>
        <w:spacing w:after="160" w:before="0" w:line="276"/>
        <w:jc w:val="both"/>
      </w:pPr>
      <w:r>
        <w:rPr>
          <w:rFonts w:ascii="Calibri" w:cs="Calibri" w:eastAsia="Calibri" w:hAnsi="Calibri"/>
          <w:sz w:val="22"/>
          <w:szCs w:val="22"/>
        </w:rPr>
        <w:t xml:space="preserve">Managed Partner Development is a 12-month engagement under which Automatum builds and runs a reseller channel on AWS for a Registered Client. The deliverables are executed partner agreements and a margin schedule, a live partner portal carrying onboarding, deal registration and commission tracking, recruitment and enablement on a named cadence, a deal desk answering registrations, and a monthly report whose primary metric is the Offer-Issuing Partner count. The Services at each Tier are those in clause 5.1, varied only as set out in this Schedule.</w:t>
      </w:r>
    </w:p>
    <w:p>
      <w:pPr>
        <w:pStyle w:val="Heading2"/>
        <w:keepNext/>
        <w:spacing w:after="140" w:before="300"/>
      </w:pPr>
      <w:r>
        <w:rPr>
          <w:rFonts w:ascii="Calibri" w:cs="Calibri" w:eastAsia="Calibri" w:hAnsi="Calibri"/>
          <w:b/>
          <w:bCs/>
          <w:sz w:val="24"/>
          <w:szCs w:val="24"/>
        </w:rPr>
        <w:t xml:space="preserve">2. Tier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36"/>
        <w:gridCol w:w="3058"/>
        <w:gridCol w:w="1483"/>
        <w:gridCol w:w="1483"/>
      </w:tblGrid>
      <w:tr>
        <w:trPr>
          <w:tblHeader/>
        </w:trPr>
        <w:tc>
          <w:tcPr>
            <w:tcW w:type="dxa" w:w="333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3058"/>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 1</w:t>
            </w:r>
          </w:p>
        </w:tc>
        <w:tc>
          <w:tcPr>
            <w:tcW w:type="dxa" w:w="148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 2</w:t>
            </w:r>
          </w:p>
        </w:tc>
        <w:tc>
          <w:tcPr>
            <w:tcW w:type="dxa" w:w="148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 3</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Fees</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$2,500 per month</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$5,000 per month</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$7,500 per month</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Net new Recruited Partners (ceiling)</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up to 6</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up to 12</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uncapped roster</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Training and enablement sessions</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twice yearly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quarterly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monthly</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turnaround (total)</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by close of the next Business Day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8 Business Hours</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4 Business Hours</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Reviews</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quarterly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monthly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every two weeks</w:t>
            </w:r>
          </w:p>
        </w:tc>
      </w:tr>
    </w:tbl>
    <w:p>
      <w:pPr>
        <w:spacing w:after="160"/>
      </w:pPr>
      <w:r>
        <w:t xml:space="preserve"/>
      </w:r>
    </w:p>
    <w:p>
      <w:pPr>
        <w:spacing w:after="160" w:before="0" w:line="276"/>
        <w:jc w:val="both"/>
      </w:pPr>
      <w:r>
        <w:rPr>
          <w:rFonts w:ascii="Calibri" w:cs="Calibri" w:eastAsia="Calibri" w:hAnsi="Calibri"/>
          <w:sz w:val="22"/>
          <w:szCs w:val="22"/>
        </w:rPr>
        <w:t xml:space="preserve">The remaining Services in clause 5.1 apply at every Tier. Clause 5.2 governs the partner numbers.</w:t>
      </w:r>
    </w:p>
    <w:p>
      <w:pPr>
        <w:pStyle w:val="Heading2"/>
        <w:keepNext/>
        <w:spacing w:after="140" w:before="300"/>
      </w:pPr>
      <w:r>
        <w:rPr>
          <w:rFonts w:ascii="Calibri" w:cs="Calibri" w:eastAsia="Calibri" w:hAnsi="Calibri"/>
          <w:b/>
          <w:bCs/>
          <w:sz w:val="24"/>
          <w:szCs w:val="24"/>
        </w:rPr>
        <w:t xml:space="preserve">3. Tier 3 roster and onboarding throughput</w:t>
      </w:r>
    </w:p>
    <w:p>
      <w:pPr>
        <w:spacing w:after="160" w:before="0" w:line="276"/>
        <w:jc w:val="both"/>
      </w:pPr>
      <w:r>
        <w:rPr>
          <w:rFonts w:ascii="Calibri" w:cs="Calibri" w:eastAsia="Calibri" w:hAnsi="Calibri"/>
          <w:sz w:val="22"/>
          <w:szCs w:val="22"/>
        </w:rPr>
        <w:t xml:space="preserve">There is no contractual ceiling on the total number of Recruited Partners over a Tier 3 Engagement. OBVG's Tier 3 obligations are as follows:</w:t>
      </w:r>
    </w:p>
    <w:p>
      <w:pPr>
        <w:pStyle w:val="ListParagraph"/>
        <w:numPr>
          <w:ilvl w:val="0"/>
          <w:numId w:val="1"/>
        </w:numPr>
        <w:spacing w:after="80" w:before="40" w:line="276"/>
      </w:pPr>
      <w:r>
        <w:rPr>
          <w:rFonts w:ascii="Calibri" w:cs="Calibri" w:eastAsia="Calibri" w:hAnsi="Calibri"/>
          <w:sz w:val="22"/>
          <w:szCs w:val="22"/>
        </w:rPr>
        <w:t xml:space="preserve">OBVG will process up to the Onboarding Throughput Rate in the Engagement Order per month and maintain up to the stated number of concurrent onboardings, as a first-in-first-out queue with queue position visible in the PSR. Requests above the rate are queued, and queuing is not a service level failure.</w:t>
      </w:r>
    </w:p>
    <w:p>
      <w:pPr>
        <w:pStyle w:val="ListParagraph"/>
        <w:numPr>
          <w:ilvl w:val="0"/>
          <w:numId w:val="1"/>
        </w:numPr>
        <w:spacing w:after="80" w:before="40" w:line="276"/>
      </w:pPr>
      <w:r>
        <w:rPr>
          <w:rFonts w:ascii="Calibri" w:cs="Calibri" w:eastAsia="Calibri" w:hAnsi="Calibri"/>
          <w:sz w:val="22"/>
          <w:szCs w:val="22"/>
        </w:rPr>
        <w:t xml:space="preserve">Each Tier 3 Engagement Order states Baseline Assumptions for active partner count and monthly onboarding volume. If actual volume exceeds 150% of the Baseline Assumptions over any rolling 3 months, either Party may invoke clause 14.5 and Automatum will use reasonable efforts to obtain an uplift or a move to a bespoke tier. If the Client will not agree, OBVG's obligation is capped at the Baseline Assumptions plus fair use and Automatum bears any resulting shortfall in its obligations to the Client.</w:t>
      </w:r>
    </w:p>
    <w:p>
      <w:pPr>
        <w:pStyle w:val="ListParagraph"/>
        <w:numPr>
          <w:ilvl w:val="0"/>
          <w:numId w:val="1"/>
        </w:numPr>
        <w:spacing w:after="80" w:before="40" w:line="276"/>
      </w:pPr>
      <w:r>
        <w:rPr>
          <w:rFonts w:ascii="Calibri" w:cs="Calibri" w:eastAsia="Calibri" w:hAnsi="Calibri"/>
          <w:sz w:val="22"/>
          <w:szCs w:val="22"/>
        </w:rPr>
        <w:t xml:space="preserve">Above the partner record threshold in the Engagement Order, incremental PSR license cost passes through at cost under clause 14.5, unless OBVG has warranted in the Engagement Order that it holds an unlimited-partner license.</w:t>
      </w:r>
    </w:p>
    <w:p>
      <w:pPr>
        <w:pStyle w:val="Heading2"/>
        <w:keepNext/>
        <w:spacing w:after="140" w:before="300"/>
      </w:pPr>
      <w:r>
        <w:rPr>
          <w:rFonts w:ascii="Calibri" w:cs="Calibri" w:eastAsia="Calibri" w:hAnsi="Calibri"/>
          <w:b/>
          <w:bCs/>
          <w:sz w:val="24"/>
          <w:szCs w:val="24"/>
        </w:rPr>
        <w:t xml:space="preserve">4. Partner milestones</w:t>
      </w:r>
    </w:p>
    <w:p>
      <w:pPr>
        <w:spacing w:after="160" w:before="0" w:line="276"/>
        <w:jc w:val="both"/>
      </w:pPr>
      <w:r>
        <w:rPr>
          <w:rFonts w:ascii="Calibri" w:cs="Calibri" w:eastAsia="Calibri" w:hAnsi="Calibri"/>
          <w:sz w:val="22"/>
          <w:szCs w:val="22"/>
        </w:rPr>
        <w:t xml:space="preserve">The program target is that a Recruited Partner achieves its first Transaction by the end of the first quarter following its partner agreement signature date. OBVG pursues the target under clause 5.1 and reports progress against it in the monthly reporting pack under clause 12.1. The target is not a warranty. Clause 8.3 applies while a partner is pending AWS registration, tax, banking or service-linked role requirements.</w:t>
      </w:r>
    </w:p>
    <w:p>
      <w:pPr>
        <w:pStyle w:val="Heading2"/>
        <w:keepNext/>
        <w:spacing w:after="140" w:before="300"/>
      </w:pPr>
      <w:r>
        <w:rPr>
          <w:rFonts w:ascii="Calibri" w:cs="Calibri" w:eastAsia="Calibri" w:hAnsi="Calibri"/>
          <w:b/>
          <w:bCs/>
          <w:sz w:val="24"/>
          <w:szCs w:val="24"/>
        </w:rPr>
        <w:t xml:space="preserve">5. Active Partner measurement</w:t>
      </w:r>
    </w:p>
    <w:p>
      <w:pPr>
        <w:spacing w:after="160" w:before="0" w:line="276"/>
        <w:jc w:val="both"/>
      </w:pPr>
      <w:r>
        <w:rPr>
          <w:rFonts w:ascii="Calibri" w:cs="Calibri" w:eastAsia="Calibri" w:hAnsi="Calibri"/>
          <w:sz w:val="22"/>
          <w:szCs w:val="22"/>
        </w:rPr>
        <w:t xml:space="preserve">Active Partner counts are measured on a trailing basis and again at a post-term measurement date 3 months after the end of the Engagement Year; Recruited Partners onboarded in the final 90 days of an Engagement Year are excluded from any in-term ratio expressed by reference to Active Partners; and no fee, credit or commitment is calculated by reference to an Active Partner count for a period in which the partner could not have qualified.</w:t>
      </w:r>
    </w:p>
    <w:p>
      <w:pPr>
        <w:pStyle w:val="Heading2"/>
        <w:keepNext/>
        <w:spacing w:after="140" w:before="300"/>
      </w:pPr>
      <w:r>
        <w:rPr>
          <w:rFonts w:ascii="Calibri" w:cs="Calibri" w:eastAsia="Calibri" w:hAnsi="Calibri"/>
          <w:b/>
          <w:bCs/>
          <w:sz w:val="24"/>
          <w:szCs w:val="24"/>
        </w:rPr>
        <w:t xml:space="preserve">6. Out of scope</w:t>
      </w:r>
    </w:p>
    <w:p>
      <w:pPr>
        <w:spacing w:after="160" w:before="0" w:line="276"/>
        <w:jc w:val="both"/>
      </w:pPr>
      <w:r>
        <w:rPr>
          <w:rFonts w:ascii="Calibri" w:cs="Calibri" w:eastAsia="Calibri" w:hAnsi="Calibri"/>
          <w:sz w:val="22"/>
          <w:szCs w:val="22"/>
        </w:rPr>
        <w:t xml:space="preserve">Anything not described in clause 5.1 or this Schedule, including bespoke integration work, partner marketing spend, channel incentive funding, legal advice, and services for a Client's direct customers, is chargeable under clause 14.5 at the Schedule 2 rate card.</w:t>
      </w:r>
    </w:p>
    <w:p>
      <w:pPr>
        <w:pStyle w:val="Heading1"/>
        <w:pageBreakBefore/>
        <w:spacing w:after="200" w:before="240"/>
        <w:jc w:val="left"/>
      </w:pPr>
      <w:r>
        <w:rPr>
          <w:rFonts w:ascii="Calibri" w:cs="Calibri" w:eastAsia="Calibri" w:hAnsi="Calibri"/>
          <w:b/>
          <w:bCs/>
          <w:sz w:val="28"/>
          <w:szCs w:val="28"/>
        </w:rPr>
        <w:t xml:space="preserve">Schedule 2 - Commercial Terms</w:t>
      </w:r>
    </w:p>
    <w:p>
      <w:pPr>
        <w:pStyle w:val="Heading2"/>
        <w:keepNext/>
        <w:spacing w:after="140" w:before="300"/>
      </w:pPr>
      <w:r>
        <w:rPr>
          <w:rFonts w:ascii="Calibri" w:cs="Calibri" w:eastAsia="Calibri" w:hAnsi="Calibri"/>
          <w:b/>
          <w:bCs/>
          <w:sz w:val="24"/>
          <w:szCs w:val="24"/>
        </w:rPr>
        <w:t xml:space="preserve">1. Division of Collected Client Fees</w:t>
      </w:r>
    </w:p>
    <w:p>
      <w:pPr>
        <w:spacing w:after="160" w:before="0" w:line="276"/>
        <w:jc w:val="both"/>
      </w:pPr>
      <w:r>
        <w:rPr>
          <w:rFonts w:ascii="Calibri" w:cs="Calibri" w:eastAsia="Calibri" w:hAnsi="Calibri"/>
          <w:sz w:val="22"/>
          <w:szCs w:val="22"/>
        </w:rPr>
        <w:t xml:space="preserve">Platform Revenue is $9,999 per Engagement Year at every Tier and is allocated to Automatum regardless of Client Status, accruing at $833.25 per Engagement Month. Service Revenue is the balance and divides by Client Status under clause 11.1.</w:t>
      </w:r>
    </w:p>
    <w:p>
      <w:pPr>
        <w:spacing w:after="160" w:before="0" w:line="276"/>
        <w:jc w:val="both"/>
      </w:pPr>
      <w:r>
        <w:rPr>
          <w:rFonts w:ascii="Calibri" w:cs="Calibri" w:eastAsia="Calibri" w:hAnsi="Calibri"/>
          <w:b/>
          <w:bCs/>
          <w:sz w:val="22"/>
          <w:szCs w:val="22"/>
        </w:rPr>
        <w:t xml:space="preserve">Net New Client - Service Revenue retained in full by OBVG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7"/>
        <w:gridCol w:w="1985"/>
        <w:gridCol w:w="1796"/>
        <w:gridCol w:w="1513"/>
        <w:gridCol w:w="2175"/>
        <w:gridCol w:w="1324"/>
      </w:tblGrid>
      <w:tr>
        <w:trPr>
          <w:tblHeader/>
        </w:trPr>
        <w:tc>
          <w:tcPr>
            <w:tcW w:type="dxa" w:w="56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w:t>
            </w:r>
          </w:p>
        </w:tc>
        <w:tc>
          <w:tcPr>
            <w:tcW w:type="dxa" w:w="198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Client Fees per month</w:t>
            </w:r>
          </w:p>
        </w:tc>
        <w:tc>
          <w:tcPr>
            <w:tcW w:type="dxa" w:w="179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per Engagement Year</w:t>
            </w:r>
          </w:p>
        </w:tc>
        <w:tc>
          <w:tcPr>
            <w:tcW w:type="dxa" w:w="151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Platform Revenue</w:t>
            </w:r>
          </w:p>
        </w:tc>
        <w:tc>
          <w:tcPr>
            <w:tcW w:type="dxa" w:w="217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Service Revenue to OBVG</w:t>
            </w:r>
          </w:p>
        </w:tc>
        <w:tc>
          <w:tcPr>
            <w:tcW w:type="dxa" w:w="132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OBVG per month</w:t>
            </w:r>
          </w:p>
        </w:tc>
      </w:tr>
      <w:tr>
        <w:trPr>
          <w:tblHeader w:val="false"/>
        </w:trPr>
        <w:tc>
          <w:tcPr>
            <w:tcW w:type="dxa" w:w="567"/>
            <w:tcMar>
              <w:top w:type="dxa" w:w="60"/>
              <w:left w:type="dxa" w:w="108"/>
              <w:bottom w:type="dxa" w:w="60"/>
              <w:right w:type="dxa" w:w="108"/>
            </w:tcMar>
          </w:tcPr>
          <w:p>
            <w:pPr>
              <w:spacing w:after="0" w:before="0" w:line="240"/>
            </w:pPr>
            <w:r>
              <w:rPr>
                <w:rFonts w:ascii="Calibri" w:cs="Calibri" w:eastAsia="Calibri" w:hAnsi="Calibri"/>
                <w:sz w:val="19"/>
                <w:szCs w:val="19"/>
              </w:rPr>
              <w:t xml:space="preserve">1</w:t>
            </w:r>
          </w:p>
        </w:tc>
        <w:tc>
          <w:tcPr>
            <w:tcW w:type="dxa" w:w="1985"/>
            <w:tcMar>
              <w:top w:type="dxa" w:w="60"/>
              <w:left w:type="dxa" w:w="108"/>
              <w:bottom w:type="dxa" w:w="60"/>
              <w:right w:type="dxa" w:w="108"/>
            </w:tcMar>
          </w:tcPr>
          <w:p>
            <w:pPr>
              <w:spacing w:after="0" w:before="0" w:line="240"/>
            </w:pPr>
            <w:r>
              <w:rPr>
                <w:rFonts w:ascii="Calibri" w:cs="Calibri" w:eastAsia="Calibri" w:hAnsi="Calibri"/>
                <w:sz w:val="19"/>
                <w:szCs w:val="19"/>
              </w:rPr>
              <w:t xml:space="preserve">$2,500</w:t>
            </w:r>
          </w:p>
        </w:tc>
        <w:tc>
          <w:tcPr>
            <w:tcW w:type="dxa" w:w="1796"/>
            <w:tcMar>
              <w:top w:type="dxa" w:w="60"/>
              <w:left w:type="dxa" w:w="108"/>
              <w:bottom w:type="dxa" w:w="60"/>
              <w:right w:type="dxa" w:w="108"/>
            </w:tcMar>
          </w:tcPr>
          <w:p>
            <w:pPr>
              <w:spacing w:after="0" w:before="0" w:line="240"/>
            </w:pPr>
            <w:r>
              <w:rPr>
                <w:rFonts w:ascii="Calibri" w:cs="Calibri" w:eastAsia="Calibri" w:hAnsi="Calibri"/>
                <w:sz w:val="19"/>
                <w:szCs w:val="19"/>
              </w:rPr>
              <w:t xml:space="preserve">$30,000</w:t>
            </w:r>
          </w:p>
        </w:tc>
        <w:tc>
          <w:tcPr>
            <w:tcW w:type="dxa" w:w="1513"/>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c>
          <w:tcPr>
            <w:tcW w:type="dxa" w:w="2175"/>
            <w:tcMar>
              <w:top w:type="dxa" w:w="60"/>
              <w:left w:type="dxa" w:w="108"/>
              <w:bottom w:type="dxa" w:w="60"/>
              <w:right w:type="dxa" w:w="108"/>
            </w:tcMar>
          </w:tcPr>
          <w:p>
            <w:pPr>
              <w:spacing w:after="0" w:before="0" w:line="240"/>
            </w:pPr>
            <w:r>
              <w:rPr>
                <w:rFonts w:ascii="Calibri" w:cs="Calibri" w:eastAsia="Calibri" w:hAnsi="Calibri"/>
                <w:sz w:val="19"/>
                <w:szCs w:val="19"/>
              </w:rPr>
              <w:t xml:space="preserve">$20,001</w:t>
            </w:r>
          </w:p>
        </w:tc>
        <w:tc>
          <w:tcPr>
            <w:tcW w:type="dxa" w:w="1324"/>
            <w:tcMar>
              <w:top w:type="dxa" w:w="60"/>
              <w:left w:type="dxa" w:w="108"/>
              <w:bottom w:type="dxa" w:w="60"/>
              <w:right w:type="dxa" w:w="108"/>
            </w:tcMar>
          </w:tcPr>
          <w:p>
            <w:pPr>
              <w:spacing w:after="0" w:before="0" w:line="240"/>
            </w:pPr>
            <w:r>
              <w:rPr>
                <w:rFonts w:ascii="Calibri" w:cs="Calibri" w:eastAsia="Calibri" w:hAnsi="Calibri"/>
                <w:sz w:val="19"/>
                <w:szCs w:val="19"/>
              </w:rPr>
              <w:t xml:space="preserve">$1,666.75</w:t>
            </w:r>
          </w:p>
        </w:tc>
      </w:tr>
      <w:tr>
        <w:trPr>
          <w:tblHeader w:val="false"/>
        </w:trPr>
        <w:tc>
          <w:tcPr>
            <w:tcW w:type="dxa" w:w="567"/>
            <w:tcMar>
              <w:top w:type="dxa" w:w="60"/>
              <w:left w:type="dxa" w:w="108"/>
              <w:bottom w:type="dxa" w:w="60"/>
              <w:right w:type="dxa" w:w="108"/>
            </w:tcMar>
          </w:tcPr>
          <w:p>
            <w:pPr>
              <w:spacing w:after="0" w:before="0" w:line="240"/>
            </w:pPr>
            <w:r>
              <w:rPr>
                <w:rFonts w:ascii="Calibri" w:cs="Calibri" w:eastAsia="Calibri" w:hAnsi="Calibri"/>
                <w:sz w:val="19"/>
                <w:szCs w:val="19"/>
              </w:rPr>
              <w:t xml:space="preserve">2</w:t>
            </w:r>
          </w:p>
        </w:tc>
        <w:tc>
          <w:tcPr>
            <w:tcW w:type="dxa" w:w="1985"/>
            <w:tcMar>
              <w:top w:type="dxa" w:w="60"/>
              <w:left w:type="dxa" w:w="108"/>
              <w:bottom w:type="dxa" w:w="60"/>
              <w:right w:type="dxa" w:w="108"/>
            </w:tcMar>
          </w:tcPr>
          <w:p>
            <w:pPr>
              <w:spacing w:after="0" w:before="0" w:line="240"/>
            </w:pPr>
            <w:r>
              <w:rPr>
                <w:rFonts w:ascii="Calibri" w:cs="Calibri" w:eastAsia="Calibri" w:hAnsi="Calibri"/>
                <w:sz w:val="19"/>
                <w:szCs w:val="19"/>
              </w:rPr>
              <w:t xml:space="preserve">$5,000</w:t>
            </w:r>
          </w:p>
        </w:tc>
        <w:tc>
          <w:tcPr>
            <w:tcW w:type="dxa" w:w="1796"/>
            <w:tcMar>
              <w:top w:type="dxa" w:w="60"/>
              <w:left w:type="dxa" w:w="108"/>
              <w:bottom w:type="dxa" w:w="60"/>
              <w:right w:type="dxa" w:w="108"/>
            </w:tcMar>
          </w:tcPr>
          <w:p>
            <w:pPr>
              <w:spacing w:after="0" w:before="0" w:line="240"/>
            </w:pPr>
            <w:r>
              <w:rPr>
                <w:rFonts w:ascii="Calibri" w:cs="Calibri" w:eastAsia="Calibri" w:hAnsi="Calibri"/>
                <w:sz w:val="19"/>
                <w:szCs w:val="19"/>
              </w:rPr>
              <w:t xml:space="preserve">$60,000</w:t>
            </w:r>
          </w:p>
        </w:tc>
        <w:tc>
          <w:tcPr>
            <w:tcW w:type="dxa" w:w="1513"/>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c>
          <w:tcPr>
            <w:tcW w:type="dxa" w:w="2175"/>
            <w:tcMar>
              <w:top w:type="dxa" w:w="60"/>
              <w:left w:type="dxa" w:w="108"/>
              <w:bottom w:type="dxa" w:w="60"/>
              <w:right w:type="dxa" w:w="108"/>
            </w:tcMar>
          </w:tcPr>
          <w:p>
            <w:pPr>
              <w:spacing w:after="0" w:before="0" w:line="240"/>
            </w:pPr>
            <w:r>
              <w:rPr>
                <w:rFonts w:ascii="Calibri" w:cs="Calibri" w:eastAsia="Calibri" w:hAnsi="Calibri"/>
                <w:sz w:val="19"/>
                <w:szCs w:val="19"/>
              </w:rPr>
              <w:t xml:space="preserve">$50,001</w:t>
            </w:r>
          </w:p>
        </w:tc>
        <w:tc>
          <w:tcPr>
            <w:tcW w:type="dxa" w:w="1324"/>
            <w:tcMar>
              <w:top w:type="dxa" w:w="60"/>
              <w:left w:type="dxa" w:w="108"/>
              <w:bottom w:type="dxa" w:w="60"/>
              <w:right w:type="dxa" w:w="108"/>
            </w:tcMar>
          </w:tcPr>
          <w:p>
            <w:pPr>
              <w:spacing w:after="0" w:before="0" w:line="240"/>
            </w:pPr>
            <w:r>
              <w:rPr>
                <w:rFonts w:ascii="Calibri" w:cs="Calibri" w:eastAsia="Calibri" w:hAnsi="Calibri"/>
                <w:sz w:val="19"/>
                <w:szCs w:val="19"/>
              </w:rPr>
              <w:t xml:space="preserve">$4,166.75</w:t>
            </w:r>
          </w:p>
        </w:tc>
      </w:tr>
      <w:tr>
        <w:trPr>
          <w:tblHeader w:val="false"/>
        </w:trPr>
        <w:tc>
          <w:tcPr>
            <w:tcW w:type="dxa" w:w="567"/>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1985"/>
            <w:tcMar>
              <w:top w:type="dxa" w:w="60"/>
              <w:left w:type="dxa" w:w="108"/>
              <w:bottom w:type="dxa" w:w="60"/>
              <w:right w:type="dxa" w:w="108"/>
            </w:tcMar>
          </w:tcPr>
          <w:p>
            <w:pPr>
              <w:spacing w:after="0" w:before="0" w:line="240"/>
            </w:pPr>
            <w:r>
              <w:rPr>
                <w:rFonts w:ascii="Calibri" w:cs="Calibri" w:eastAsia="Calibri" w:hAnsi="Calibri"/>
                <w:sz w:val="19"/>
                <w:szCs w:val="19"/>
              </w:rPr>
              <w:t xml:space="preserve">$7,500</w:t>
            </w:r>
          </w:p>
        </w:tc>
        <w:tc>
          <w:tcPr>
            <w:tcW w:type="dxa" w:w="1796"/>
            <w:tcMar>
              <w:top w:type="dxa" w:w="60"/>
              <w:left w:type="dxa" w:w="108"/>
              <w:bottom w:type="dxa" w:w="60"/>
              <w:right w:type="dxa" w:w="108"/>
            </w:tcMar>
          </w:tcPr>
          <w:p>
            <w:pPr>
              <w:spacing w:after="0" w:before="0" w:line="240"/>
            </w:pPr>
            <w:r>
              <w:rPr>
                <w:rFonts w:ascii="Calibri" w:cs="Calibri" w:eastAsia="Calibri" w:hAnsi="Calibri"/>
                <w:sz w:val="19"/>
                <w:szCs w:val="19"/>
              </w:rPr>
              <w:t xml:space="preserve">$90,000</w:t>
            </w:r>
          </w:p>
        </w:tc>
        <w:tc>
          <w:tcPr>
            <w:tcW w:type="dxa" w:w="1513"/>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c>
          <w:tcPr>
            <w:tcW w:type="dxa" w:w="2175"/>
            <w:tcMar>
              <w:top w:type="dxa" w:w="60"/>
              <w:left w:type="dxa" w:w="108"/>
              <w:bottom w:type="dxa" w:w="60"/>
              <w:right w:type="dxa" w:w="108"/>
            </w:tcMar>
          </w:tcPr>
          <w:p>
            <w:pPr>
              <w:spacing w:after="0" w:before="0" w:line="240"/>
            </w:pPr>
            <w:r>
              <w:rPr>
                <w:rFonts w:ascii="Calibri" w:cs="Calibri" w:eastAsia="Calibri" w:hAnsi="Calibri"/>
                <w:sz w:val="19"/>
                <w:szCs w:val="19"/>
              </w:rPr>
              <w:t xml:space="preserve">$80,001</w:t>
            </w:r>
          </w:p>
        </w:tc>
        <w:tc>
          <w:tcPr>
            <w:tcW w:type="dxa" w:w="1324"/>
            <w:tcMar>
              <w:top w:type="dxa" w:w="60"/>
              <w:left w:type="dxa" w:w="108"/>
              <w:bottom w:type="dxa" w:w="60"/>
              <w:right w:type="dxa" w:w="108"/>
            </w:tcMar>
          </w:tcPr>
          <w:p>
            <w:pPr>
              <w:spacing w:after="0" w:before="0" w:line="240"/>
            </w:pPr>
            <w:r>
              <w:rPr>
                <w:rFonts w:ascii="Calibri" w:cs="Calibri" w:eastAsia="Calibri" w:hAnsi="Calibri"/>
                <w:sz w:val="19"/>
                <w:szCs w:val="19"/>
              </w:rPr>
              <w:t xml:space="preserve">$6,666.75</w:t>
            </w:r>
          </w:p>
        </w:tc>
      </w:tr>
    </w:tbl>
    <w:p>
      <w:pPr>
        <w:spacing w:after="160"/>
      </w:pPr>
      <w:r>
        <w:t xml:space="preserve"/>
      </w:r>
    </w:p>
    <w:p>
      <w:pPr>
        <w:spacing w:after="160" w:before="0" w:line="276"/>
        <w:jc w:val="both"/>
      </w:pPr>
      <w:r>
        <w:rPr>
          <w:rFonts w:ascii="Calibri" w:cs="Calibri" w:eastAsia="Calibri" w:hAnsi="Calibri"/>
          <w:b/>
          <w:bCs/>
          <w:sz w:val="22"/>
          <w:szCs w:val="22"/>
        </w:rPr>
        <w:t xml:space="preserve">Existing Automatum Client - Service Revenue split 75% OBVG / 25% Automatum</w:t>
      </w:r>
    </w:p>
    <w:p>
      <w:pPr>
        <w:spacing w:after="160" w:before="0" w:line="276"/>
        <w:jc w:val="both"/>
      </w:pPr>
      <w:r>
        <w:rPr>
          <w:rFonts w:ascii="Calibri" w:cs="Calibri" w:eastAsia="Calibri" w:hAnsi="Calibri"/>
          <w:sz w:val="22"/>
          <w:szCs w:val="22"/>
        </w:rPr>
        <w:t xml:space="preserve">The Client's existing subscription continues and is not part of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1671"/>
        <w:gridCol w:w="1114"/>
        <w:gridCol w:w="1671"/>
        <w:gridCol w:w="1560"/>
        <w:gridCol w:w="2675"/>
      </w:tblGrid>
      <w:tr>
        <w:trPr>
          <w:tblHeader/>
        </w:trPr>
        <w:tc>
          <w:tcPr>
            <w:tcW w:type="dxa" w:w="66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w:t>
            </w:r>
          </w:p>
        </w:tc>
        <w:tc>
          <w:tcPr>
            <w:tcW w:type="dxa" w:w="1671"/>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Service Revenue</w:t>
            </w:r>
          </w:p>
        </w:tc>
        <w:tc>
          <w:tcPr>
            <w:tcW w:type="dxa" w:w="111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OBVG (75%)</w:t>
            </w:r>
          </w:p>
        </w:tc>
        <w:tc>
          <w:tcPr>
            <w:tcW w:type="dxa" w:w="1671"/>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Automatum (25%)</w:t>
            </w:r>
          </w:p>
        </w:tc>
        <w:tc>
          <w:tcPr>
            <w:tcW w:type="dxa" w:w="156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OBVG per month</w:t>
            </w:r>
          </w:p>
        </w:tc>
        <w:tc>
          <w:tcPr>
            <w:tcW w:type="dxa" w:w="267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Automatum total per year</w:t>
            </w:r>
          </w:p>
        </w:tc>
      </w:tr>
      <w:tr>
        <w:trPr>
          <w:tblHeader w:val="false"/>
        </w:trPr>
        <w:tc>
          <w:tcPr>
            <w:tcW w:type="dxa" w:w="669"/>
            <w:tcMar>
              <w:top w:type="dxa" w:w="60"/>
              <w:left w:type="dxa" w:w="108"/>
              <w:bottom w:type="dxa" w:w="60"/>
              <w:right w:type="dxa" w:w="108"/>
            </w:tcMar>
          </w:tcPr>
          <w:p>
            <w:pPr>
              <w:spacing w:after="0" w:before="0" w:line="240"/>
            </w:pPr>
            <w:r>
              <w:rPr>
                <w:rFonts w:ascii="Calibri" w:cs="Calibri" w:eastAsia="Calibri" w:hAnsi="Calibri"/>
                <w:sz w:val="19"/>
                <w:szCs w:val="19"/>
              </w:rPr>
              <w:t xml:space="preserve">1</w:t>
            </w:r>
          </w:p>
        </w:tc>
        <w:tc>
          <w:tcPr>
            <w:tcW w:type="dxa" w:w="1671"/>
            <w:tcMar>
              <w:top w:type="dxa" w:w="60"/>
              <w:left w:type="dxa" w:w="108"/>
              <w:bottom w:type="dxa" w:w="60"/>
              <w:right w:type="dxa" w:w="108"/>
            </w:tcMar>
          </w:tcPr>
          <w:p>
            <w:pPr>
              <w:spacing w:after="0" w:before="0" w:line="240"/>
            </w:pPr>
            <w:r>
              <w:rPr>
                <w:rFonts w:ascii="Calibri" w:cs="Calibri" w:eastAsia="Calibri" w:hAnsi="Calibri"/>
                <w:sz w:val="19"/>
                <w:szCs w:val="19"/>
              </w:rPr>
              <w:t xml:space="preserve">$20,001</w:t>
            </w:r>
          </w:p>
        </w:tc>
        <w:tc>
          <w:tcPr>
            <w:tcW w:type="dxa" w:w="1114"/>
            <w:tcMar>
              <w:top w:type="dxa" w:w="60"/>
              <w:left w:type="dxa" w:w="108"/>
              <w:bottom w:type="dxa" w:w="60"/>
              <w:right w:type="dxa" w:w="108"/>
            </w:tcMar>
          </w:tcPr>
          <w:p>
            <w:pPr>
              <w:spacing w:after="0" w:before="0" w:line="240"/>
            </w:pPr>
            <w:r>
              <w:rPr>
                <w:rFonts w:ascii="Calibri" w:cs="Calibri" w:eastAsia="Calibri" w:hAnsi="Calibri"/>
                <w:sz w:val="19"/>
                <w:szCs w:val="19"/>
              </w:rPr>
              <w:t xml:space="preserve">$15,000.75</w:t>
            </w:r>
          </w:p>
        </w:tc>
        <w:tc>
          <w:tcPr>
            <w:tcW w:type="dxa" w:w="1671"/>
            <w:tcMar>
              <w:top w:type="dxa" w:w="60"/>
              <w:left w:type="dxa" w:w="108"/>
              <w:bottom w:type="dxa" w:w="60"/>
              <w:right w:type="dxa" w:w="108"/>
            </w:tcMar>
          </w:tcPr>
          <w:p>
            <w:pPr>
              <w:spacing w:after="0" w:before="0" w:line="240"/>
            </w:pPr>
            <w:r>
              <w:rPr>
                <w:rFonts w:ascii="Calibri" w:cs="Calibri" w:eastAsia="Calibri" w:hAnsi="Calibri"/>
                <w:sz w:val="19"/>
                <w:szCs w:val="19"/>
              </w:rPr>
              <w:t xml:space="preserve">$5,000.25</w:t>
            </w:r>
          </w:p>
        </w:tc>
        <w:tc>
          <w:tcPr>
            <w:tcW w:type="dxa" w:w="1560"/>
            <w:tcMar>
              <w:top w:type="dxa" w:w="60"/>
              <w:left w:type="dxa" w:w="108"/>
              <w:bottom w:type="dxa" w:w="60"/>
              <w:right w:type="dxa" w:w="108"/>
            </w:tcMar>
          </w:tcPr>
          <w:p>
            <w:pPr>
              <w:spacing w:after="0" w:before="0" w:line="240"/>
            </w:pPr>
            <w:r>
              <w:rPr>
                <w:rFonts w:ascii="Calibri" w:cs="Calibri" w:eastAsia="Calibri" w:hAnsi="Calibri"/>
                <w:sz w:val="19"/>
                <w:szCs w:val="19"/>
              </w:rPr>
              <w:t xml:space="preserve">$1,250.06</w:t>
            </w:r>
          </w:p>
        </w:tc>
        <w:tc>
          <w:tcPr>
            <w:tcW w:type="dxa" w:w="2675"/>
            <w:tcMar>
              <w:top w:type="dxa" w:w="60"/>
              <w:left w:type="dxa" w:w="108"/>
              <w:bottom w:type="dxa" w:w="60"/>
              <w:right w:type="dxa" w:w="108"/>
            </w:tcMar>
          </w:tcPr>
          <w:p>
            <w:pPr>
              <w:spacing w:after="0" w:before="0" w:line="240"/>
            </w:pPr>
            <w:r>
              <w:rPr>
                <w:rFonts w:ascii="Calibri" w:cs="Calibri" w:eastAsia="Calibri" w:hAnsi="Calibri"/>
                <w:sz w:val="19"/>
                <w:szCs w:val="19"/>
              </w:rPr>
              <w:t xml:space="preserve">$14,999.25</w:t>
            </w:r>
          </w:p>
        </w:tc>
      </w:tr>
      <w:tr>
        <w:trPr>
          <w:tblHeader w:val="false"/>
        </w:trPr>
        <w:tc>
          <w:tcPr>
            <w:tcW w:type="dxa" w:w="669"/>
            <w:tcMar>
              <w:top w:type="dxa" w:w="60"/>
              <w:left w:type="dxa" w:w="108"/>
              <w:bottom w:type="dxa" w:w="60"/>
              <w:right w:type="dxa" w:w="108"/>
            </w:tcMar>
          </w:tcPr>
          <w:p>
            <w:pPr>
              <w:spacing w:after="0" w:before="0" w:line="240"/>
            </w:pPr>
            <w:r>
              <w:rPr>
                <w:rFonts w:ascii="Calibri" w:cs="Calibri" w:eastAsia="Calibri" w:hAnsi="Calibri"/>
                <w:sz w:val="19"/>
                <w:szCs w:val="19"/>
              </w:rPr>
              <w:t xml:space="preserve">2</w:t>
            </w:r>
          </w:p>
        </w:tc>
        <w:tc>
          <w:tcPr>
            <w:tcW w:type="dxa" w:w="1671"/>
            <w:tcMar>
              <w:top w:type="dxa" w:w="60"/>
              <w:left w:type="dxa" w:w="108"/>
              <w:bottom w:type="dxa" w:w="60"/>
              <w:right w:type="dxa" w:w="108"/>
            </w:tcMar>
          </w:tcPr>
          <w:p>
            <w:pPr>
              <w:spacing w:after="0" w:before="0" w:line="240"/>
            </w:pPr>
            <w:r>
              <w:rPr>
                <w:rFonts w:ascii="Calibri" w:cs="Calibri" w:eastAsia="Calibri" w:hAnsi="Calibri"/>
                <w:sz w:val="19"/>
                <w:szCs w:val="19"/>
              </w:rPr>
              <w:t xml:space="preserve">$50,001</w:t>
            </w:r>
          </w:p>
        </w:tc>
        <w:tc>
          <w:tcPr>
            <w:tcW w:type="dxa" w:w="1114"/>
            <w:tcMar>
              <w:top w:type="dxa" w:w="60"/>
              <w:left w:type="dxa" w:w="108"/>
              <w:bottom w:type="dxa" w:w="60"/>
              <w:right w:type="dxa" w:w="108"/>
            </w:tcMar>
          </w:tcPr>
          <w:p>
            <w:pPr>
              <w:spacing w:after="0" w:before="0" w:line="240"/>
            </w:pPr>
            <w:r>
              <w:rPr>
                <w:rFonts w:ascii="Calibri" w:cs="Calibri" w:eastAsia="Calibri" w:hAnsi="Calibri"/>
                <w:sz w:val="19"/>
                <w:szCs w:val="19"/>
              </w:rPr>
              <w:t xml:space="preserve">$37,500.75</w:t>
            </w:r>
          </w:p>
        </w:tc>
        <w:tc>
          <w:tcPr>
            <w:tcW w:type="dxa" w:w="1671"/>
            <w:tcMar>
              <w:top w:type="dxa" w:w="60"/>
              <w:left w:type="dxa" w:w="108"/>
              <w:bottom w:type="dxa" w:w="60"/>
              <w:right w:type="dxa" w:w="108"/>
            </w:tcMar>
          </w:tcPr>
          <w:p>
            <w:pPr>
              <w:spacing w:after="0" w:before="0" w:line="240"/>
            </w:pPr>
            <w:r>
              <w:rPr>
                <w:rFonts w:ascii="Calibri" w:cs="Calibri" w:eastAsia="Calibri" w:hAnsi="Calibri"/>
                <w:sz w:val="19"/>
                <w:szCs w:val="19"/>
              </w:rPr>
              <w:t xml:space="preserve">$12,500.25</w:t>
            </w:r>
          </w:p>
        </w:tc>
        <w:tc>
          <w:tcPr>
            <w:tcW w:type="dxa" w:w="1560"/>
            <w:tcMar>
              <w:top w:type="dxa" w:w="60"/>
              <w:left w:type="dxa" w:w="108"/>
              <w:bottom w:type="dxa" w:w="60"/>
              <w:right w:type="dxa" w:w="108"/>
            </w:tcMar>
          </w:tcPr>
          <w:p>
            <w:pPr>
              <w:spacing w:after="0" w:before="0" w:line="240"/>
            </w:pPr>
            <w:r>
              <w:rPr>
                <w:rFonts w:ascii="Calibri" w:cs="Calibri" w:eastAsia="Calibri" w:hAnsi="Calibri"/>
                <w:sz w:val="19"/>
                <w:szCs w:val="19"/>
              </w:rPr>
              <w:t xml:space="preserve">$3,125.06</w:t>
            </w:r>
          </w:p>
        </w:tc>
        <w:tc>
          <w:tcPr>
            <w:tcW w:type="dxa" w:w="2675"/>
            <w:tcMar>
              <w:top w:type="dxa" w:w="60"/>
              <w:left w:type="dxa" w:w="108"/>
              <w:bottom w:type="dxa" w:w="60"/>
              <w:right w:type="dxa" w:w="108"/>
            </w:tcMar>
          </w:tcPr>
          <w:p>
            <w:pPr>
              <w:spacing w:after="0" w:before="0" w:line="240"/>
            </w:pPr>
            <w:r>
              <w:rPr>
                <w:rFonts w:ascii="Calibri" w:cs="Calibri" w:eastAsia="Calibri" w:hAnsi="Calibri"/>
                <w:sz w:val="19"/>
                <w:szCs w:val="19"/>
              </w:rPr>
              <w:t xml:space="preserve">$22,499.25</w:t>
            </w:r>
          </w:p>
        </w:tc>
      </w:tr>
      <w:tr>
        <w:trPr>
          <w:tblHeader w:val="false"/>
        </w:trPr>
        <w:tc>
          <w:tcPr>
            <w:tcW w:type="dxa" w:w="669"/>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1671"/>
            <w:tcMar>
              <w:top w:type="dxa" w:w="60"/>
              <w:left w:type="dxa" w:w="108"/>
              <w:bottom w:type="dxa" w:w="60"/>
              <w:right w:type="dxa" w:w="108"/>
            </w:tcMar>
          </w:tcPr>
          <w:p>
            <w:pPr>
              <w:spacing w:after="0" w:before="0" w:line="240"/>
            </w:pPr>
            <w:r>
              <w:rPr>
                <w:rFonts w:ascii="Calibri" w:cs="Calibri" w:eastAsia="Calibri" w:hAnsi="Calibri"/>
                <w:sz w:val="19"/>
                <w:szCs w:val="19"/>
              </w:rPr>
              <w:t xml:space="preserve">$80,001</w:t>
            </w:r>
          </w:p>
        </w:tc>
        <w:tc>
          <w:tcPr>
            <w:tcW w:type="dxa" w:w="1114"/>
            <w:tcMar>
              <w:top w:type="dxa" w:w="60"/>
              <w:left w:type="dxa" w:w="108"/>
              <w:bottom w:type="dxa" w:w="60"/>
              <w:right w:type="dxa" w:w="108"/>
            </w:tcMar>
          </w:tcPr>
          <w:p>
            <w:pPr>
              <w:spacing w:after="0" w:before="0" w:line="240"/>
            </w:pPr>
            <w:r>
              <w:rPr>
                <w:rFonts w:ascii="Calibri" w:cs="Calibri" w:eastAsia="Calibri" w:hAnsi="Calibri"/>
                <w:sz w:val="19"/>
                <w:szCs w:val="19"/>
              </w:rPr>
              <w:t xml:space="preserve">$60,000.75</w:t>
            </w:r>
          </w:p>
        </w:tc>
        <w:tc>
          <w:tcPr>
            <w:tcW w:type="dxa" w:w="1671"/>
            <w:tcMar>
              <w:top w:type="dxa" w:w="60"/>
              <w:left w:type="dxa" w:w="108"/>
              <w:bottom w:type="dxa" w:w="60"/>
              <w:right w:type="dxa" w:w="108"/>
            </w:tcMar>
          </w:tcPr>
          <w:p>
            <w:pPr>
              <w:spacing w:after="0" w:before="0" w:line="240"/>
            </w:pPr>
            <w:r>
              <w:rPr>
                <w:rFonts w:ascii="Calibri" w:cs="Calibri" w:eastAsia="Calibri" w:hAnsi="Calibri"/>
                <w:sz w:val="19"/>
                <w:szCs w:val="19"/>
              </w:rPr>
              <w:t xml:space="preserve">$20,000.25</w:t>
            </w:r>
          </w:p>
        </w:tc>
        <w:tc>
          <w:tcPr>
            <w:tcW w:type="dxa" w:w="1560"/>
            <w:tcMar>
              <w:top w:type="dxa" w:w="60"/>
              <w:left w:type="dxa" w:w="108"/>
              <w:bottom w:type="dxa" w:w="60"/>
              <w:right w:type="dxa" w:w="108"/>
            </w:tcMar>
          </w:tcPr>
          <w:p>
            <w:pPr>
              <w:spacing w:after="0" w:before="0" w:line="240"/>
            </w:pPr>
            <w:r>
              <w:rPr>
                <w:rFonts w:ascii="Calibri" w:cs="Calibri" w:eastAsia="Calibri" w:hAnsi="Calibri"/>
                <w:sz w:val="19"/>
                <w:szCs w:val="19"/>
              </w:rPr>
              <w:t xml:space="preserve">$5,000.06</w:t>
            </w:r>
          </w:p>
        </w:tc>
        <w:tc>
          <w:tcPr>
            <w:tcW w:type="dxa" w:w="2675"/>
            <w:tcMar>
              <w:top w:type="dxa" w:w="60"/>
              <w:left w:type="dxa" w:w="108"/>
              <w:bottom w:type="dxa" w:w="60"/>
              <w:right w:type="dxa" w:w="108"/>
            </w:tcMar>
          </w:tcPr>
          <w:p>
            <w:pPr>
              <w:spacing w:after="0" w:before="0" w:line="240"/>
            </w:pPr>
            <w:r>
              <w:rPr>
                <w:rFonts w:ascii="Calibri" w:cs="Calibri" w:eastAsia="Calibri" w:hAnsi="Calibri"/>
                <w:sz w:val="19"/>
                <w:szCs w:val="19"/>
              </w:rPr>
              <w:t xml:space="preserve">$29,999.25</w:t>
            </w:r>
          </w:p>
        </w:tc>
      </w:tr>
    </w:tbl>
    <w:p>
      <w:pPr>
        <w:spacing w:after="160"/>
      </w:pPr>
      <w:r>
        <w:t xml:space="preserve"/>
      </w:r>
    </w:p>
    <w:p>
      <w:pPr>
        <w:spacing w:after="160" w:before="0" w:line="276"/>
        <w:jc w:val="both"/>
      </w:pPr>
      <w:r>
        <w:rPr>
          <w:rFonts w:ascii="Calibri" w:cs="Calibri" w:eastAsia="Calibri" w:hAnsi="Calibri"/>
          <w:sz w:val="22"/>
          <w:szCs w:val="22"/>
        </w:rPr>
        <w:t xml:space="preserve">"Automatum total per year" is the $9,999 the Client pays under its existing subscription plus Automatum's 25% share of Service Revenue.</w:t>
      </w:r>
    </w:p>
    <w:p>
      <w:pPr>
        <w:spacing w:after="160" w:before="0" w:line="276"/>
        <w:jc w:val="both"/>
      </w:pPr>
      <w:r>
        <w:rPr>
          <w:rFonts w:ascii="Calibri" w:cs="Calibri" w:eastAsia="Calibri" w:hAnsi="Calibri"/>
          <w:b/>
          <w:bCs/>
          <w:sz w:val="22"/>
          <w:szCs w:val="22"/>
        </w:rPr>
        <w:t xml:space="preserve">Rounding.</w:t>
      </w:r>
      <w:r>
        <w:rPr>
          <w:rFonts w:ascii="Calibri" w:cs="Calibri" w:eastAsia="Calibri" w:hAnsi="Calibri"/>
          <w:sz w:val="22"/>
          <w:szCs w:val="22"/>
        </w:rPr>
        <w:t xml:space="preserve"> Monthly accrual is one twelfth of the annual share rounded to the nearest cent, and the final Engagement Month of each Engagement Year takes the rounding difference so that the twelve amounts total the annual share exactly.</w:t>
      </w:r>
    </w:p>
    <w:p>
      <w:pPr>
        <w:spacing w:after="160" w:before="0" w:line="276"/>
        <w:jc w:val="both"/>
      </w:pPr>
      <w:r>
        <w:rPr>
          <w:rFonts w:ascii="Calibri" w:cs="Calibri" w:eastAsia="Calibri" w:hAnsi="Calibri"/>
          <w:sz w:val="22"/>
          <w:szCs w:val="22"/>
        </w:rPr>
        <w:t xml:space="preserve">The amounts in this paragraph are stated on the basis that Client Fees are collected in full. Where they are not, Platform Revenue and each Party's share of Service Revenue accrue only against Collected Client Fees, and the shortfall is borne in the proportions in this paragraph for the affected Engagement Month.</w:t>
      </w:r>
    </w:p>
    <w:p>
      <w:pPr>
        <w:pStyle w:val="Heading2"/>
        <w:keepNext/>
        <w:spacing w:after="140" w:before="300"/>
      </w:pPr>
      <w:r>
        <w:rPr>
          <w:rFonts w:ascii="Calibri" w:cs="Calibri" w:eastAsia="Calibri" w:hAnsi="Calibri"/>
          <w:b/>
          <w:bCs/>
          <w:sz w:val="24"/>
          <w:szCs w:val="24"/>
        </w:rPr>
        <w:t xml:space="preserve">2. Worked example - Tier 2, full Engagement Year</w:t>
      </w:r>
    </w:p>
    <w:p>
      <w:pPr>
        <w:spacing w:after="160" w:before="0" w:line="276"/>
        <w:jc w:val="both"/>
      </w:pPr>
      <w:r>
        <w:rPr>
          <w:rFonts w:ascii="Calibri" w:cs="Calibri" w:eastAsia="Calibri" w:hAnsi="Calibri"/>
          <w:b/>
          <w:bCs/>
          <w:sz w:val="22"/>
          <w:szCs w:val="22"/>
        </w:rPr>
        <w:t xml:space="preserve">Net New Client.</w:t>
      </w:r>
      <w:r>
        <w:rPr>
          <w:rFonts w:ascii="Calibri" w:cs="Calibri" w:eastAsia="Calibri" w:hAnsi="Calibri"/>
          <w:sz w:val="22"/>
          <w:szCs w:val="22"/>
        </w:rPr>
        <w:t xml:space="preserve"> Client Fees of $60,000 are collected. Platform Revenue of $9,999 accrues to Automatum at $833.25 per month, and Service Revenue of $50,001 is retained by OBVG at $4,166.75 per month.</w:t>
      </w:r>
    </w:p>
    <w:p>
      <w:pPr>
        <w:spacing w:after="160" w:before="0" w:line="276"/>
        <w:jc w:val="both"/>
      </w:pPr>
      <w:r>
        <w:rPr>
          <w:rFonts w:ascii="Calibri" w:cs="Calibri" w:eastAsia="Calibri" w:hAnsi="Calibri"/>
          <w:b/>
          <w:bCs/>
          <w:sz w:val="22"/>
          <w:szCs w:val="22"/>
        </w:rPr>
        <w:t xml:space="preserve">Existing Automatum Client.</w:t>
      </w:r>
      <w:r>
        <w:rPr>
          <w:rFonts w:ascii="Calibri" w:cs="Calibri" w:eastAsia="Calibri" w:hAnsi="Calibri"/>
          <w:sz w:val="22"/>
          <w:szCs w:val="22"/>
        </w:rPr>
        <w:t xml:space="preserve"> Client Fees of $60,000 are collected and the Client's existing subscription continues separately and outside the Engagement. Service Revenue of $50,001 divides $37,500.75 to OBVG and $12,500.25 to Automatum, and OBVG invoices $3,125.06 monthly.</w:t>
      </w:r>
    </w:p>
    <w:p>
      <w:pPr>
        <w:pStyle w:val="Heading2"/>
        <w:keepNext/>
        <w:spacing w:after="140" w:before="300"/>
      </w:pPr>
      <w:r>
        <w:rPr>
          <w:rFonts w:ascii="Calibri" w:cs="Calibri" w:eastAsia="Calibri" w:hAnsi="Calibri"/>
          <w:b/>
          <w:bCs/>
          <w:sz w:val="24"/>
          <w:szCs w:val="24"/>
        </w:rPr>
        <w:t xml:space="preserve">3. Worked example - Tier 1, terminated at the end of Engagement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19"/>
        <w:gridCol w:w="1702"/>
        <w:gridCol w:w="3039"/>
      </w:tblGrid>
      <w:tr>
        <w:trPr>
          <w:tblHeader/>
        </w:trPr>
        <w:tc>
          <w:tcPr>
            <w:tcW w:type="dxa" w:w="461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170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Net New Client</w:t>
            </w:r>
          </w:p>
        </w:tc>
        <w:tc>
          <w:tcPr>
            <w:tcW w:type="dxa" w:w="303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Existing Automatum Client</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Fees collected (3 x $2,500)</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$7,500.00</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$7,500.00</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Platform Revenue accrued (3 x $833.25)</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$2,499.75</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$2,499.75</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OBVG Service Revenue accrued</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$5,000.25</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$3,750.19</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 share of Service Revenue</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nil</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$1,250.06</w:t>
            </w:r>
          </w:p>
        </w:tc>
      </w:tr>
    </w:tbl>
    <w:p>
      <w:pPr>
        <w:spacing w:after="160"/>
      </w:pPr>
      <w:r>
        <w:t xml:space="preserve"/>
      </w:r>
    </w:p>
    <w:p>
      <w:pPr>
        <w:spacing w:after="160" w:before="0" w:line="276"/>
        <w:jc w:val="both"/>
      </w:pPr>
      <w:r>
        <w:rPr>
          <w:rFonts w:ascii="Calibri" w:cs="Calibri" w:eastAsia="Calibri" w:hAnsi="Calibri"/>
          <w:sz w:val="22"/>
          <w:szCs w:val="22"/>
        </w:rPr>
        <w:t xml:space="preserve">Neither Party recovers a further amount on account of the terminated Engagement except under paragraph 4. Automatum bears the difference between the $2,499.75 accrued and the $9,999 it commits annually for its Enterprise tier, under Schedule 8 paragraph 2.2.</w:t>
      </w:r>
    </w:p>
    <w:p>
      <w:pPr>
        <w:pStyle w:val="Heading2"/>
        <w:keepNext/>
        <w:spacing w:after="140" w:before="300"/>
      </w:pPr>
      <w:r>
        <w:rPr>
          <w:rFonts w:ascii="Calibri" w:cs="Calibri" w:eastAsia="Calibri" w:hAnsi="Calibri"/>
          <w:b/>
          <w:bCs/>
          <w:sz w:val="24"/>
          <w:szCs w:val="24"/>
        </w:rPr>
        <w:t xml:space="preserve">4. Early termination of an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5"/>
        <w:gridCol w:w="6785"/>
      </w:tblGrid>
      <w:tr>
        <w:trPr>
          <w:tblHeader/>
        </w:trPr>
        <w:tc>
          <w:tcPr>
            <w:tcW w:type="dxa" w:w="257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Cause</w:t>
            </w:r>
          </w:p>
        </w:tc>
        <w:tc>
          <w:tcPr>
            <w:tcW w:type="dxa" w:w="678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Outcome</w:t>
            </w:r>
          </w:p>
        </w:tc>
      </w:tr>
      <w:tr>
        <w:trPr>
          <w:tblHeader w:val="false"/>
        </w:trPr>
        <w:tc>
          <w:tcPr>
            <w:tcW w:type="dxa" w:w="2575"/>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terminates, or the Engagement expires</w:t>
            </w:r>
          </w:p>
        </w:tc>
        <w:tc>
          <w:tcPr>
            <w:tcW w:type="dxa" w:w="6785"/>
            <w:tcMar>
              <w:top w:type="dxa" w:w="60"/>
              <w:left w:type="dxa" w:w="108"/>
              <w:bottom w:type="dxa" w:w="60"/>
              <w:right w:type="dxa" w:w="108"/>
            </w:tcMar>
          </w:tcPr>
          <w:p>
            <w:pPr>
              <w:spacing w:after="0" w:before="0" w:line="240"/>
            </w:pPr>
            <w:r>
              <w:rPr>
                <w:rFonts w:ascii="Calibri" w:cs="Calibri" w:eastAsia="Calibri" w:hAnsi="Calibri"/>
                <w:sz w:val="19"/>
                <w:szCs w:val="19"/>
              </w:rPr>
              <w:t xml:space="preserve">Each Party retains the amounts accrued to it. Any early termination charge collected is split in the proportions in paragraph 1 for that Tier and Client Status.</w:t>
            </w:r>
          </w:p>
        </w:tc>
      </w:tr>
      <w:tr>
        <w:trPr>
          <w:tblHeader w:val="false"/>
        </w:trPr>
        <w:tc>
          <w:tcPr>
            <w:tcW w:type="dxa" w:w="2575"/>
            <w:tcMar>
              <w:top w:type="dxa" w:w="60"/>
              <w:left w:type="dxa" w:w="108"/>
              <w:bottom w:type="dxa" w:w="60"/>
              <w:right w:type="dxa" w:w="108"/>
            </w:tcMar>
          </w:tcPr>
          <w:p>
            <w:pPr>
              <w:spacing w:after="0" w:before="0" w:line="240"/>
            </w:pPr>
            <w:r>
              <w:rPr>
                <w:rFonts w:ascii="Calibri" w:cs="Calibri" w:eastAsia="Calibri" w:hAnsi="Calibri"/>
                <w:sz w:val="19"/>
                <w:szCs w:val="19"/>
              </w:rPr>
              <w:t xml:space="preserve">OBVG's breach or Chronic Failure</w:t>
            </w:r>
          </w:p>
        </w:tc>
        <w:tc>
          <w:tcPr>
            <w:tcW w:type="dxa" w:w="6785"/>
            <w:tcMar>
              <w:top w:type="dxa" w:w="60"/>
              <w:left w:type="dxa" w:w="108"/>
              <w:bottom w:type="dxa" w:w="60"/>
              <w:right w:type="dxa" w:w="108"/>
            </w:tcMar>
          </w:tcPr>
          <w:p>
            <w:pPr>
              <w:spacing w:after="0" w:before="0" w:line="240"/>
            </w:pPr>
            <w:r>
              <w:rPr>
                <w:rFonts w:ascii="Calibri" w:cs="Calibri" w:eastAsia="Calibri" w:hAnsi="Calibri"/>
                <w:sz w:val="19"/>
                <w:szCs w:val="19"/>
              </w:rPr>
              <w:t xml:space="preserve">Each Party retains the amounts accrued to it. OBVG forfeits its share of any early termination charge and funds transition assistance under clause 24.1.</w:t>
            </w:r>
          </w:p>
        </w:tc>
      </w:tr>
      <w:tr>
        <w:trPr>
          <w:tblHeader w:val="false"/>
        </w:trPr>
        <w:tc>
          <w:tcPr>
            <w:tcW w:type="dxa" w:w="2575"/>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Automatum's breach, or termination by Automatum for convenience</w:t>
            </w:r>
          </w:p>
        </w:tc>
        <w:tc>
          <w:tcPr>
            <w:tcW w:type="dxa" w:w="6785"/>
            <w:tcMar>
              <w:top w:type="dxa" w:w="60"/>
              <w:left w:type="dxa" w:w="108"/>
              <w:bottom w:type="dxa" w:w="60"/>
              <w:right w:type="dxa" w:w="108"/>
            </w:tcMar>
          </w:tcPr>
          <w:p>
            <w:pPr>
              <w:spacing w:after="0" w:before="0" w:line="240"/>
            </w:pPr>
            <w:r>
              <w:rPr>
                <w:rFonts w:ascii="Calibri" w:cs="Calibri" w:eastAsia="Calibri" w:hAnsi="Calibri"/>
                <w:sz w:val="19"/>
                <w:szCs w:val="19"/>
              </w:rPr>
              <w:t xml:space="preserve">OBVG is paid the greater of 3 months' OBVG Service Revenue and the OBVG Service Revenue for the remainder of the Engagement Year, plus evidenced demobilization costs.</w:t>
            </w:r>
          </w:p>
        </w:tc>
      </w:tr>
      <w:tr>
        <w:trPr>
          <w:tblHeader w:val="false"/>
        </w:trPr>
        <w:tc>
          <w:tcPr>
            <w:tcW w:type="dxa" w:w="2575"/>
            <w:tcMar>
              <w:top w:type="dxa" w:w="60"/>
              <w:left w:type="dxa" w:w="108"/>
              <w:bottom w:type="dxa" w:w="60"/>
              <w:right w:type="dxa" w:w="108"/>
            </w:tcMar>
          </w:tcPr>
          <w:p>
            <w:pPr>
              <w:spacing w:after="0" w:before="0" w:line="240"/>
            </w:pPr>
            <w:r>
              <w:rPr>
                <w:rFonts w:ascii="Calibri" w:cs="Calibri" w:eastAsia="Calibri" w:hAnsi="Calibri"/>
                <w:sz w:val="19"/>
                <w:szCs w:val="19"/>
              </w:rPr>
              <w:t xml:space="preserve">No fault under clause 14.3 or 25.3</w:t>
            </w:r>
          </w:p>
        </w:tc>
        <w:tc>
          <w:tcPr>
            <w:tcW w:type="dxa" w:w="6785"/>
            <w:tcMar>
              <w:top w:type="dxa" w:w="60"/>
              <w:left w:type="dxa" w:w="108"/>
              <w:bottom w:type="dxa" w:w="60"/>
              <w:right w:type="dxa" w:w="108"/>
            </w:tcMar>
          </w:tcPr>
          <w:p>
            <w:pPr>
              <w:spacing w:after="0" w:before="0" w:line="240"/>
            </w:pPr>
            <w:r>
              <w:rPr>
                <w:rFonts w:ascii="Calibri" w:cs="Calibri" w:eastAsia="Calibri" w:hAnsi="Calibri"/>
                <w:sz w:val="19"/>
                <w:szCs w:val="19"/>
              </w:rPr>
              <w:t xml:space="preserve">Losses lie where they fall. Each Party retains the amounts accrued to it, and any early termination charge collected is split in the proportions in paragraph 1.</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5. Tier changes</w:t>
      </w:r>
    </w:p>
    <w:p>
      <w:pPr>
        <w:spacing w:after="160" w:before="0" w:line="276"/>
        <w:jc w:val="both"/>
      </w:pPr>
      <w:r>
        <w:rPr>
          <w:rFonts w:ascii="Calibri" w:cs="Calibri" w:eastAsia="Calibri" w:hAnsi="Calibri"/>
          <w:b/>
          <w:bCs/>
          <w:sz w:val="22"/>
          <w:szCs w:val="22"/>
        </w:rPr>
        <w:t xml:space="preserve">5.1 Upgrade.</w:t>
      </w:r>
      <w:r>
        <w:rPr>
          <w:rFonts w:ascii="Calibri" w:cs="Calibri" w:eastAsia="Calibri" w:hAnsi="Calibri"/>
          <w:sz w:val="22"/>
          <w:szCs w:val="22"/>
        </w:rPr>
        <w:t xml:space="preserve"> An upgrade takes effect on the first day of the Engagement Month following the Client's written request. The enhanced service levels apply from the 30th day after the upgrade takes effect.</w:t>
      </w:r>
    </w:p>
    <w:p>
      <w:pPr>
        <w:spacing w:after="160" w:before="0" w:line="276"/>
        <w:jc w:val="both"/>
      </w:pPr>
      <w:r>
        <w:rPr>
          <w:rFonts w:ascii="Calibri" w:cs="Calibri" w:eastAsia="Calibri" w:hAnsi="Calibri"/>
          <w:b/>
          <w:bCs/>
          <w:sz w:val="22"/>
          <w:szCs w:val="22"/>
        </w:rPr>
        <w:t xml:space="preserve">5.2 Downgrade.</w:t>
      </w:r>
      <w:r>
        <w:rPr>
          <w:rFonts w:ascii="Calibri" w:cs="Calibri" w:eastAsia="Calibri" w:hAnsi="Calibri"/>
          <w:sz w:val="22"/>
          <w:szCs w:val="22"/>
        </w:rPr>
        <w:t xml:space="preserve"> A downgrade takes effect only at an Engagement quarter boundary, being the end of each period of three Engagement Months from the start of the Engagement Year, and only on 60 days' notice.</w:t>
      </w:r>
    </w:p>
    <w:p>
      <w:pPr>
        <w:spacing w:after="160" w:before="0" w:line="276"/>
        <w:jc w:val="both"/>
      </w:pPr>
      <w:r>
        <w:rPr>
          <w:rFonts w:ascii="Calibri" w:cs="Calibri" w:eastAsia="Calibri" w:hAnsi="Calibri"/>
          <w:b/>
          <w:bCs/>
          <w:sz w:val="22"/>
          <w:szCs w:val="22"/>
        </w:rPr>
        <w:t xml:space="preserve">5.3 Roster carry-over on downgrade.</w:t>
      </w:r>
      <w:r>
        <w:rPr>
          <w:rFonts w:ascii="Calibri" w:cs="Calibri" w:eastAsia="Calibri" w:hAnsi="Calibri"/>
          <w:sz w:val="22"/>
          <w:szCs w:val="22"/>
        </w:rPr>
        <w:t xml:space="preserve"> The new Tier's partner ceiling applies to net new Recruited Partners only. Continued management of an existing roster above the level the new Tier supports is addressed in one of three ways: it is chargeable at the rate card by change order under clause 14.5; the roster is reduced to the supported level within 60 days; or the Engagement is re-scoped as a bespoke tier. Absent agreement within 60 days, OBVG's obligation is limited to the new Tier's supported level and Automatum bears any resulting shortfall in its obligations to the Client.</w:t>
      </w:r>
    </w:p>
    <w:p>
      <w:pPr>
        <w:pStyle w:val="Heading2"/>
        <w:keepNext/>
        <w:spacing w:after="140" w:before="300"/>
      </w:pPr>
      <w:r>
        <w:rPr>
          <w:rFonts w:ascii="Calibri" w:cs="Calibri" w:eastAsia="Calibri" w:hAnsi="Calibri"/>
          <w:b/>
          <w:bCs/>
          <w:sz w:val="24"/>
          <w:szCs w:val="24"/>
        </w:rPr>
        <w:t xml:space="preserve">6. Rate card</w:t>
      </w:r>
    </w:p>
    <w:p>
      <w:pPr>
        <w:spacing w:after="160" w:before="0" w:line="276"/>
        <w:jc w:val="both"/>
      </w:pPr>
      <w:r>
        <w:rPr>
          <w:rFonts w:ascii="Calibri" w:cs="Calibri" w:eastAsia="Calibri" w:hAnsi="Calibri"/>
          <w:sz w:val="22"/>
          <w:szCs w:val="22"/>
        </w:rPr>
        <w:t xml:space="preserve">Out of scope work under clause 14.5, chargeable transition assistance under clause 24.1, and roster carry-over under paragraph 5.3 are charged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7"/>
        <w:gridCol w:w="5173"/>
      </w:tblGrid>
      <w:tr>
        <w:trPr>
          <w:tblHeader/>
        </w:trPr>
        <w:tc>
          <w:tcPr>
            <w:tcW w:type="dxa" w:w="418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Role</w:t>
            </w:r>
          </w:p>
        </w:tc>
        <w:tc>
          <w:tcPr>
            <w:tcW w:type="dxa" w:w="517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Day rate</w:t>
            </w:r>
          </w:p>
        </w:tc>
      </w:tr>
      <w:tr>
        <w:trPr>
          <w:tblHeader w:val="false"/>
        </w:trPr>
        <w:tc>
          <w:tcPr>
            <w:tcW w:type="dxa" w:w="4187"/>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Manager</w:t>
            </w:r>
          </w:p>
        </w:tc>
        <w:tc>
          <w:tcPr>
            <w:tcW w:type="dxa" w:w="517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r>
        <w:trPr>
          <w:tblHeader w:val="false"/>
        </w:trPr>
        <w:tc>
          <w:tcPr>
            <w:tcW w:type="dxa" w:w="4187"/>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Analyst</w:t>
            </w:r>
          </w:p>
        </w:tc>
        <w:tc>
          <w:tcPr>
            <w:tcW w:type="dxa" w:w="517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r>
        <w:trPr>
          <w:tblHeader w:val="false"/>
        </w:trPr>
        <w:tc>
          <w:tcPr>
            <w:tcW w:type="dxa" w:w="4187"/>
            <w:tcMar>
              <w:top w:type="dxa" w:w="60"/>
              <w:left w:type="dxa" w:w="108"/>
              <w:bottom w:type="dxa" w:w="60"/>
              <w:right w:type="dxa" w:w="108"/>
            </w:tcMar>
          </w:tcPr>
          <w:p>
            <w:pPr>
              <w:spacing w:after="0" w:before="0" w:line="240"/>
            </w:pPr>
            <w:r>
              <w:rPr>
                <w:rFonts w:ascii="Calibri" w:cs="Calibri" w:eastAsia="Calibri" w:hAnsi="Calibri"/>
                <w:sz w:val="19"/>
                <w:szCs w:val="19"/>
              </w:rPr>
              <w:t xml:space="preserve">Program Director</w:t>
            </w:r>
          </w:p>
        </w:tc>
        <w:tc>
          <w:tcPr>
            <w:tcW w:type="dxa" w:w="517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r>
        <w:trPr>
          <w:tblHeader w:val="false"/>
        </w:trPr>
        <w:tc>
          <w:tcPr>
            <w:tcW w:type="dxa" w:w="4187"/>
            <w:tcMar>
              <w:top w:type="dxa" w:w="60"/>
              <w:left w:type="dxa" w:w="108"/>
              <w:bottom w:type="dxa" w:w="60"/>
              <w:right w:type="dxa" w:w="108"/>
            </w:tcMar>
          </w:tcPr>
          <w:p>
            <w:pPr>
              <w:spacing w:after="0" w:before="0" w:line="240"/>
            </w:pPr>
            <w:r>
              <w:rPr>
                <w:rFonts w:ascii="Calibri" w:cs="Calibri" w:eastAsia="Calibri" w:hAnsi="Calibri"/>
                <w:sz w:val="19"/>
                <w:szCs w:val="19"/>
              </w:rPr>
              <w:t xml:space="preserve">PSR Administrator</w:t>
            </w:r>
          </w:p>
        </w:tc>
        <w:tc>
          <w:tcPr>
            <w:tcW w:type="dxa" w:w="517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bl>
    <w:p>
      <w:pPr>
        <w:spacing w:after="160"/>
      </w:pPr>
      <w:r>
        <w:t xml:space="preserve"/>
      </w:r>
    </w:p>
    <w:p>
      <w:pPr>
        <w:spacing w:after="160" w:before="0" w:line="276"/>
        <w:jc w:val="both"/>
      </w:pPr>
      <w:r>
        <w:rPr>
          <w:rFonts w:ascii="Calibri" w:cs="Calibri" w:eastAsia="Calibri" w:hAnsi="Calibri"/>
          <w:sz w:val="22"/>
          <w:szCs w:val="22"/>
        </w:rPr>
        <w:t xml:space="preserve">A day is 8 hours. Travel and expenses are chargeable at cost with prior written approval.</w:t>
      </w:r>
    </w:p>
    <w:p>
      <w:pPr>
        <w:pStyle w:val="Heading1"/>
        <w:pageBreakBefore/>
        <w:spacing w:after="200" w:before="240"/>
        <w:jc w:val="left"/>
      </w:pPr>
      <w:r>
        <w:rPr>
          <w:rFonts w:ascii="Calibri" w:cs="Calibri" w:eastAsia="Calibri" w:hAnsi="Calibri"/>
          <w:b/>
          <w:bCs/>
          <w:sz w:val="28"/>
          <w:szCs w:val="28"/>
        </w:rPr>
        <w:t xml:space="preserve">Schedule 3 - White Label and Brand Rules</w:t>
      </w:r>
    </w:p>
    <w:p>
      <w:pPr>
        <w:pStyle w:val="Heading2"/>
        <w:keepNext/>
        <w:spacing w:after="140" w:before="300"/>
      </w:pPr>
      <w:r>
        <w:rPr>
          <w:rFonts w:ascii="Calibri" w:cs="Calibri" w:eastAsia="Calibri" w:hAnsi="Calibri"/>
          <w:b/>
          <w:bCs/>
          <w:sz w:val="24"/>
          <w:szCs w:val="24"/>
        </w:rPr>
        <w:t xml:space="preserve">1. Identity</w:t>
      </w:r>
    </w:p>
    <w:p>
      <w:pPr>
        <w:spacing w:after="160" w:before="0" w:line="276"/>
        <w:jc w:val="both"/>
      </w:pPr>
      <w:r>
        <w:rPr>
          <w:rFonts w:ascii="Calibri" w:cs="Calibri" w:eastAsia="Calibri" w:hAnsi="Calibri"/>
          <w:b/>
          <w:bCs/>
          <w:sz w:val="22"/>
          <w:szCs w:val="22"/>
        </w:rPr>
        <w:t xml:space="preserve">1.1</w:t>
      </w:r>
      <w:r>
        <w:rPr>
          <w:rFonts w:ascii="Calibri" w:cs="Calibri" w:eastAsia="Calibri" w:hAnsi="Calibri"/>
          <w:sz w:val="22"/>
          <w:szCs w:val="22"/>
        </w:rPr>
        <w:t xml:space="preserve"> OBVG personnel performing client-facing or partner-facing work operate under the Automatum Brand, using Automatum-supplied email addresses on an Automatum domain, Automatum calendar invitations, document templates and email signatures. Automatum supplies and administers these accounts and may revoke them at any time.</w:t>
      </w:r>
    </w:p>
    <w:p>
      <w:pPr>
        <w:spacing w:after="160" w:before="0" w:line="276"/>
        <w:jc w:val="both"/>
      </w:pPr>
      <w:r>
        <w:rPr>
          <w:rFonts w:ascii="Calibri" w:cs="Calibri" w:eastAsia="Calibri" w:hAnsi="Calibri"/>
          <w:b/>
          <w:bCs/>
          <w:sz w:val="22"/>
          <w:szCs w:val="22"/>
        </w:rPr>
        <w:t xml:space="preserve">1.2</w:t>
      </w:r>
      <w:r>
        <w:rPr>
          <w:rFonts w:ascii="Calibri" w:cs="Calibri" w:eastAsia="Calibri" w:hAnsi="Calibri"/>
          <w:sz w:val="22"/>
          <w:szCs w:val="22"/>
        </w:rPr>
        <w:t xml:space="preserve"> OBVG personnel are presented as "the Automatum channel team". They may say they are part of that team, that they work on Automatum's channel program, and that they are contractors or partners of Automatum where directly asked. They may not state or imply that they are employed by Automatum, sign any document as an employee or officer of Automatum, or complete an employment verification, reference or immigration form in Automatum's name.</w:t>
      </w:r>
    </w:p>
    <w:p>
      <w:pPr>
        <w:spacing w:after="160" w:before="0" w:line="276"/>
        <w:jc w:val="both"/>
      </w:pPr>
      <w:r>
        <w:rPr>
          <w:rFonts w:ascii="Calibri" w:cs="Calibri" w:eastAsia="Calibri" w:hAnsi="Calibri"/>
          <w:b/>
          <w:bCs/>
          <w:sz w:val="22"/>
          <w:szCs w:val="22"/>
        </w:rPr>
        <w:t xml:space="preserve">1.3</w:t>
      </w:r>
      <w:r>
        <w:rPr>
          <w:rFonts w:ascii="Calibri" w:cs="Calibri" w:eastAsia="Calibri" w:hAnsi="Calibri"/>
          <w:sz w:val="22"/>
          <w:szCs w:val="22"/>
        </w:rPr>
        <w:t xml:space="preserve"> Automatum does not set OBVG personnel's hours, supervise their manner of work, conduct their performance reviews or determine their compensation. OBVG supplies their equipment and working environment. Requests concerning an individual are made to OBVG's relationship manager under clause 9.5 and not to the individual.</w:t>
      </w:r>
    </w:p>
    <w:p>
      <w:pPr>
        <w:pStyle w:val="Heading2"/>
        <w:keepNext/>
        <w:spacing w:after="140" w:before="300"/>
      </w:pPr>
      <w:r>
        <w:rPr>
          <w:rFonts w:ascii="Calibri" w:cs="Calibri" w:eastAsia="Calibri" w:hAnsi="Calibri"/>
          <w:b/>
          <w:bCs/>
          <w:sz w:val="24"/>
          <w:szCs w:val="24"/>
        </w:rPr>
        <w:t xml:space="preserve">2. Communications</w:t>
      </w:r>
    </w:p>
    <w:p>
      <w:pPr>
        <w:spacing w:after="160" w:before="0" w:line="276"/>
        <w:jc w:val="both"/>
      </w:pPr>
      <w:r>
        <w:rPr>
          <w:rFonts w:ascii="Calibri" w:cs="Calibri" w:eastAsia="Calibri" w:hAnsi="Calibri"/>
          <w:b/>
          <w:bCs/>
          <w:sz w:val="22"/>
          <w:szCs w:val="22"/>
        </w:rPr>
        <w:t xml:space="preserve">2.1</w:t>
      </w:r>
      <w:r>
        <w:rPr>
          <w:rFonts w:ascii="Calibri" w:cs="Calibri" w:eastAsia="Calibri" w:hAnsi="Calibri"/>
          <w:sz w:val="22"/>
          <w:szCs w:val="22"/>
        </w:rPr>
        <w:t xml:space="preserve"> All Client and partner contact routes through a single Automatum-branded intake channel stated in the Engagement Order, and OBVG triages and routes under Schedule 4 paragraph 5.</w:t>
      </w:r>
    </w:p>
    <w:p>
      <w:pPr>
        <w:spacing w:after="160" w:before="0" w:line="276"/>
        <w:jc w:val="both"/>
      </w:pPr>
      <w:r>
        <w:rPr>
          <w:rFonts w:ascii="Calibri" w:cs="Calibri" w:eastAsia="Calibri" w:hAnsi="Calibri"/>
          <w:b/>
          <w:bCs/>
          <w:sz w:val="22"/>
          <w:szCs w:val="22"/>
        </w:rPr>
        <w:t xml:space="preserve">2.2</w:t>
      </w:r>
      <w:r>
        <w:rPr>
          <w:rFonts w:ascii="Calibri" w:cs="Calibri" w:eastAsia="Calibri" w:hAnsi="Calibri"/>
          <w:sz w:val="22"/>
          <w:szCs w:val="22"/>
        </w:rPr>
        <w:t xml:space="preserve"> OBVG will not initiate contact with a Registered Client outside that channel and the named personas, and will not contact a Registered Client about any matter between the Parties.</w:t>
      </w:r>
    </w:p>
    <w:p>
      <w:pPr>
        <w:spacing w:after="160" w:before="0" w:line="276"/>
        <w:jc w:val="both"/>
      </w:pPr>
      <w:r>
        <w:rPr>
          <w:rFonts w:ascii="Calibri" w:cs="Calibri" w:eastAsia="Calibri" w:hAnsi="Calibri"/>
          <w:b/>
          <w:bCs/>
          <w:sz w:val="22"/>
          <w:szCs w:val="22"/>
        </w:rPr>
        <w:t xml:space="preserve">2.3</w:t>
      </w:r>
      <w:r>
        <w:rPr>
          <w:rFonts w:ascii="Calibri" w:cs="Calibri" w:eastAsia="Calibri" w:hAnsi="Calibri"/>
          <w:sz w:val="22"/>
          <w:szCs w:val="22"/>
        </w:rPr>
        <w:t xml:space="preserve"> Calls and meetings are held on Automatum-branded conferencing and recorded in accordance with Automatum's policy and applicable law.</w:t>
      </w:r>
    </w:p>
    <w:p>
      <w:pPr>
        <w:spacing w:after="160" w:before="0" w:line="276"/>
        <w:jc w:val="both"/>
      </w:pPr>
      <w:r>
        <w:rPr>
          <w:rFonts w:ascii="Calibri" w:cs="Calibri" w:eastAsia="Calibri" w:hAnsi="Calibri"/>
          <w:b/>
          <w:bCs/>
          <w:sz w:val="22"/>
          <w:szCs w:val="22"/>
        </w:rPr>
        <w:t xml:space="preserve">2.4</w:t>
      </w:r>
      <w:r>
        <w:rPr>
          <w:rFonts w:ascii="Calibri" w:cs="Calibri" w:eastAsia="Calibri" w:hAnsi="Calibri"/>
          <w:sz w:val="22"/>
          <w:szCs w:val="22"/>
        </w:rPr>
        <w:t xml:space="preserve"> The CRM of record for client-facing activity is Automatum's, as stated in the Engagement Order. OBVG will not hold Registered Client contact records in its own systems except within that Client's PSR tenant.</w:t>
      </w:r>
    </w:p>
    <w:p>
      <w:pPr>
        <w:pStyle w:val="Heading2"/>
        <w:keepNext/>
        <w:spacing w:after="140" w:before="300"/>
      </w:pPr>
      <w:r>
        <w:rPr>
          <w:rFonts w:ascii="Calibri" w:cs="Calibri" w:eastAsia="Calibri" w:hAnsi="Calibri"/>
          <w:b/>
          <w:bCs/>
          <w:sz w:val="24"/>
          <w:szCs w:val="24"/>
        </w:rPr>
        <w:t xml:space="preserve">3. Materials</w:t>
      </w:r>
    </w:p>
    <w:p>
      <w:pPr>
        <w:spacing w:after="160" w:before="0" w:line="276"/>
        <w:jc w:val="both"/>
      </w:pPr>
      <w:r>
        <w:rPr>
          <w:rFonts w:ascii="Calibri" w:cs="Calibri" w:eastAsia="Calibri" w:hAnsi="Calibri"/>
          <w:sz w:val="22"/>
          <w:szCs w:val="22"/>
        </w:rPr>
        <w:t xml:space="preserve">All client-facing and partner-facing materials carry the Automatum Brand and no OBVG or PSR vendor branding, subject to clause 10.2. Automatum supplies brand guidelines and approves templates, and OBVG will not vary an approved template in a way affecting the Automatum Brand without approval. OBVG will not publish, present or reuse any material produced for a Registered Client outside that Engagement, subject to clause 16.1.</w:t>
      </w:r>
    </w:p>
    <w:p>
      <w:pPr>
        <w:pStyle w:val="Heading2"/>
        <w:keepNext/>
        <w:spacing w:after="140" w:before="300"/>
      </w:pPr>
      <w:r>
        <w:rPr>
          <w:rFonts w:ascii="Calibri" w:cs="Calibri" w:eastAsia="Calibri" w:hAnsi="Calibri"/>
          <w:b/>
          <w:bCs/>
          <w:sz w:val="24"/>
          <w:szCs w:val="24"/>
        </w:rPr>
        <w:t xml:space="preserve">4. On termination</w:t>
      </w:r>
    </w:p>
    <w:p>
      <w:pPr>
        <w:spacing w:after="160" w:before="0" w:line="276"/>
        <w:jc w:val="both"/>
      </w:pPr>
      <w:r>
        <w:rPr>
          <w:rFonts w:ascii="Calibri" w:cs="Calibri" w:eastAsia="Calibri" w:hAnsi="Calibri"/>
          <w:sz w:val="22"/>
          <w:szCs w:val="22"/>
        </w:rPr>
        <w:t xml:space="preserve">Clause 24.3 applies. OBVG will return or destroy Automatum Brand assets, cease using the Automatum domain and email accounts, and cooperate with introductions to the Recruited Partner roster on Automatum-branded correspondence.</w:t>
      </w:r>
    </w:p>
    <w:p>
      <w:pPr>
        <w:pStyle w:val="Heading1"/>
        <w:pageBreakBefore/>
        <w:spacing w:after="200" w:before="240"/>
        <w:jc w:val="left"/>
      </w:pPr>
      <w:r>
        <w:rPr>
          <w:rFonts w:ascii="Calibri" w:cs="Calibri" w:eastAsia="Calibri" w:hAnsi="Calibri"/>
          <w:b/>
          <w:bCs/>
          <w:sz w:val="28"/>
          <w:szCs w:val="28"/>
        </w:rPr>
        <w:t xml:space="preserve">Schedule 4 - Service Levels, Measurement and Credits</w:t>
      </w:r>
    </w:p>
    <w:p>
      <w:pPr>
        <w:pStyle w:val="Heading2"/>
        <w:keepNext/>
        <w:spacing w:after="140" w:before="300"/>
      </w:pPr>
      <w:r>
        <w:rPr>
          <w:rFonts w:ascii="Calibri" w:cs="Calibri" w:eastAsia="Calibri" w:hAnsi="Calibri"/>
          <w:b/>
          <w:bCs/>
          <w:sz w:val="24"/>
          <w:szCs w:val="24"/>
        </w:rPr>
        <w:t xml:space="preserve">1. Deal desk turnaround</w:t>
      </w:r>
    </w:p>
    <w:p>
      <w:pPr>
        <w:spacing w:after="160" w:before="0" w:line="276"/>
        <w:jc w:val="both"/>
      </w:pPr>
      <w:r>
        <w:rPr>
          <w:rFonts w:ascii="Calibri" w:cs="Calibri" w:eastAsia="Calibri" w:hAnsi="Calibri"/>
          <w:sz w:val="22"/>
          <w:szCs w:val="22"/>
        </w:rPr>
        <w:t xml:space="preserve">A Deal Desk Request is "Complete" when it contains every item in the request form in the Engagement Order. The clock starts when a Complete request is received through the intake channel, or at the start of the next Business Hour if received outside Business Hours, and stops when the responsible Party delivers its output. Turnaround is measured in two legs, the OBVG leg and the Automatum leg.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
        <w:gridCol w:w="3076"/>
        <w:gridCol w:w="3404"/>
        <w:gridCol w:w="2487"/>
      </w:tblGrid>
      <w:tr>
        <w:trPr>
          <w:tblHeader/>
        </w:trPr>
        <w:tc>
          <w:tcPr>
            <w:tcW w:type="dxa" w:w="39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w:t>
            </w:r>
          </w:p>
        </w:tc>
        <w:tc>
          <w:tcPr>
            <w:tcW w:type="dxa" w:w="307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Total turnaround</w:t>
            </w:r>
          </w:p>
        </w:tc>
        <w:tc>
          <w:tcPr>
            <w:tcW w:type="dxa" w:w="340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OBVG leg: Complete request to Issuance-Ready Package</w:t>
            </w:r>
          </w:p>
        </w:tc>
        <w:tc>
          <w:tcPr>
            <w:tcW w:type="dxa" w:w="248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Automatum leg: package to offer issued</w:t>
            </w:r>
          </w:p>
        </w:tc>
      </w:tr>
      <w:tr>
        <w:trPr>
          <w:tblHeader w:val="false"/>
        </w:trPr>
        <w:tc>
          <w:tcPr>
            <w:tcW w:type="dxa" w:w="393"/>
            <w:tcMar>
              <w:top w:type="dxa" w:w="60"/>
              <w:left w:type="dxa" w:w="108"/>
              <w:bottom w:type="dxa" w:w="60"/>
              <w:right w:type="dxa" w:w="108"/>
            </w:tcMar>
          </w:tcPr>
          <w:p>
            <w:pPr>
              <w:spacing w:after="0" w:before="0" w:line="240"/>
            </w:pPr>
            <w:r>
              <w:rPr>
                <w:rFonts w:ascii="Calibri" w:cs="Calibri" w:eastAsia="Calibri" w:hAnsi="Calibri"/>
                <w:sz w:val="19"/>
                <w:szCs w:val="19"/>
              </w:rPr>
              <w:t xml:space="preserve">1</w:t>
            </w:r>
          </w:p>
        </w:tc>
        <w:tc>
          <w:tcPr>
            <w:tcW w:type="dxa" w:w="3076"/>
            <w:tcMar>
              <w:top w:type="dxa" w:w="60"/>
              <w:left w:type="dxa" w:w="108"/>
              <w:bottom w:type="dxa" w:w="60"/>
              <w:right w:type="dxa" w:w="108"/>
            </w:tcMar>
          </w:tcPr>
          <w:p>
            <w:pPr>
              <w:spacing w:after="0" w:before="0" w:line="240"/>
            </w:pPr>
            <w:r>
              <w:rPr>
                <w:rFonts w:ascii="Calibri" w:cs="Calibri" w:eastAsia="Calibri" w:hAnsi="Calibri"/>
                <w:sz w:val="19"/>
                <w:szCs w:val="19"/>
              </w:rPr>
              <w:t xml:space="preserve">By close of the next Business Day after receipt</w:t>
            </w:r>
          </w:p>
        </w:tc>
        <w:tc>
          <w:tcPr>
            <w:tcW w:type="dxa" w:w="3404"/>
            <w:tcMar>
              <w:top w:type="dxa" w:w="60"/>
              <w:left w:type="dxa" w:w="108"/>
              <w:bottom w:type="dxa" w:w="60"/>
              <w:right w:type="dxa" w:w="108"/>
            </w:tcMar>
          </w:tcPr>
          <w:p>
            <w:pPr>
              <w:spacing w:after="0" w:before="0" w:line="240"/>
            </w:pPr>
            <w:r>
              <w:rPr>
                <w:rFonts w:ascii="Calibri" w:cs="Calibri" w:eastAsia="Calibri" w:hAnsi="Calibri"/>
                <w:sz w:val="19"/>
                <w:szCs w:val="19"/>
              </w:rPr>
              <w:t xml:space="preserve">6 Business Hours</w:t>
            </w:r>
          </w:p>
        </w:tc>
        <w:tc>
          <w:tcPr>
            <w:tcW w:type="dxa" w:w="2487"/>
            <w:tcMar>
              <w:top w:type="dxa" w:w="60"/>
              <w:left w:type="dxa" w:w="108"/>
              <w:bottom w:type="dxa" w:w="60"/>
              <w:right w:type="dxa" w:w="108"/>
            </w:tcMar>
          </w:tcPr>
          <w:p>
            <w:pPr>
              <w:spacing w:after="0" w:before="0" w:line="240"/>
            </w:pPr>
            <w:r>
              <w:rPr>
                <w:rFonts w:ascii="Calibri" w:cs="Calibri" w:eastAsia="Calibri" w:hAnsi="Calibri"/>
                <w:sz w:val="19"/>
                <w:szCs w:val="19"/>
              </w:rPr>
              <w:t xml:space="preserve">3 Business Hours</w:t>
            </w:r>
          </w:p>
        </w:tc>
      </w:tr>
      <w:tr>
        <w:trPr>
          <w:tblHeader w:val="false"/>
        </w:trPr>
        <w:tc>
          <w:tcPr>
            <w:tcW w:type="dxa" w:w="393"/>
            <w:tcMar>
              <w:top w:type="dxa" w:w="60"/>
              <w:left w:type="dxa" w:w="108"/>
              <w:bottom w:type="dxa" w:w="60"/>
              <w:right w:type="dxa" w:w="108"/>
            </w:tcMar>
          </w:tcPr>
          <w:p>
            <w:pPr>
              <w:spacing w:after="0" w:before="0" w:line="240"/>
            </w:pPr>
            <w:r>
              <w:rPr>
                <w:rFonts w:ascii="Calibri" w:cs="Calibri" w:eastAsia="Calibri" w:hAnsi="Calibri"/>
                <w:sz w:val="19"/>
                <w:szCs w:val="19"/>
              </w:rPr>
              <w:t xml:space="preserve">2</w:t>
            </w:r>
          </w:p>
        </w:tc>
        <w:tc>
          <w:tcPr>
            <w:tcW w:type="dxa" w:w="3076"/>
            <w:tcMar>
              <w:top w:type="dxa" w:w="60"/>
              <w:left w:type="dxa" w:w="108"/>
              <w:bottom w:type="dxa" w:w="60"/>
              <w:right w:type="dxa" w:w="108"/>
            </w:tcMar>
          </w:tcPr>
          <w:p>
            <w:pPr>
              <w:spacing w:after="0" w:before="0" w:line="240"/>
            </w:pPr>
            <w:r>
              <w:rPr>
                <w:rFonts w:ascii="Calibri" w:cs="Calibri" w:eastAsia="Calibri" w:hAnsi="Calibri"/>
                <w:sz w:val="19"/>
                <w:szCs w:val="19"/>
              </w:rPr>
              <w:t xml:space="preserve">8 Business Hours</w:t>
            </w:r>
          </w:p>
        </w:tc>
        <w:tc>
          <w:tcPr>
            <w:tcW w:type="dxa" w:w="3404"/>
            <w:tcMar>
              <w:top w:type="dxa" w:w="60"/>
              <w:left w:type="dxa" w:w="108"/>
              <w:bottom w:type="dxa" w:w="60"/>
              <w:right w:type="dxa" w:w="108"/>
            </w:tcMar>
          </w:tcPr>
          <w:p>
            <w:pPr>
              <w:spacing w:after="0" w:before="0" w:line="240"/>
            </w:pPr>
            <w:r>
              <w:rPr>
                <w:rFonts w:ascii="Calibri" w:cs="Calibri" w:eastAsia="Calibri" w:hAnsi="Calibri"/>
                <w:sz w:val="19"/>
                <w:szCs w:val="19"/>
              </w:rPr>
              <w:t xml:space="preserve">5 Business Hours</w:t>
            </w:r>
          </w:p>
        </w:tc>
        <w:tc>
          <w:tcPr>
            <w:tcW w:type="dxa" w:w="2487"/>
            <w:tcMar>
              <w:top w:type="dxa" w:w="60"/>
              <w:left w:type="dxa" w:w="108"/>
              <w:bottom w:type="dxa" w:w="60"/>
              <w:right w:type="dxa" w:w="108"/>
            </w:tcMar>
          </w:tcPr>
          <w:p>
            <w:pPr>
              <w:spacing w:after="0" w:before="0" w:line="240"/>
            </w:pPr>
            <w:r>
              <w:rPr>
                <w:rFonts w:ascii="Calibri" w:cs="Calibri" w:eastAsia="Calibri" w:hAnsi="Calibri"/>
                <w:sz w:val="19"/>
                <w:szCs w:val="19"/>
              </w:rPr>
              <w:t xml:space="preserve">3 Business Hours</w:t>
            </w:r>
          </w:p>
        </w:tc>
      </w:tr>
      <w:tr>
        <w:trPr>
          <w:tblHeader w:val="false"/>
        </w:trPr>
        <w:tc>
          <w:tcPr>
            <w:tcW w:type="dxa" w:w="393"/>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3076"/>
            <w:tcMar>
              <w:top w:type="dxa" w:w="60"/>
              <w:left w:type="dxa" w:w="108"/>
              <w:bottom w:type="dxa" w:w="60"/>
              <w:right w:type="dxa" w:w="108"/>
            </w:tcMar>
          </w:tcPr>
          <w:p>
            <w:pPr>
              <w:spacing w:after="0" w:before="0" w:line="240"/>
            </w:pPr>
            <w:r>
              <w:rPr>
                <w:rFonts w:ascii="Calibri" w:cs="Calibri" w:eastAsia="Calibri" w:hAnsi="Calibri"/>
                <w:sz w:val="19"/>
                <w:szCs w:val="19"/>
              </w:rPr>
              <w:t xml:space="preserve">4 Business Hours</w:t>
            </w:r>
          </w:p>
        </w:tc>
        <w:tc>
          <w:tcPr>
            <w:tcW w:type="dxa" w:w="3404"/>
            <w:tcMar>
              <w:top w:type="dxa" w:w="60"/>
              <w:left w:type="dxa" w:w="108"/>
              <w:bottom w:type="dxa" w:w="60"/>
              <w:right w:type="dxa" w:w="108"/>
            </w:tcMar>
          </w:tcPr>
          <w:p>
            <w:pPr>
              <w:spacing w:after="0" w:before="0" w:line="240"/>
            </w:pPr>
            <w:r>
              <w:rPr>
                <w:rFonts w:ascii="Calibri" w:cs="Calibri" w:eastAsia="Calibri" w:hAnsi="Calibri"/>
                <w:sz w:val="19"/>
                <w:szCs w:val="19"/>
              </w:rPr>
              <w:t xml:space="preserve">2.5 Business Hours</w:t>
            </w:r>
          </w:p>
        </w:tc>
        <w:tc>
          <w:tcPr>
            <w:tcW w:type="dxa" w:w="2487"/>
            <w:tcMar>
              <w:top w:type="dxa" w:w="60"/>
              <w:left w:type="dxa" w:w="108"/>
              <w:bottom w:type="dxa" w:w="60"/>
              <w:right w:type="dxa" w:w="108"/>
            </w:tcMar>
          </w:tcPr>
          <w:p>
            <w:pPr>
              <w:spacing w:after="0" w:before="0" w:line="240"/>
            </w:pPr>
            <w:r>
              <w:rPr>
                <w:rFonts w:ascii="Calibri" w:cs="Calibri" w:eastAsia="Calibri" w:hAnsi="Calibri"/>
                <w:sz w:val="19"/>
                <w:szCs w:val="19"/>
              </w:rPr>
              <w:t xml:space="preserve">1.5 Business Hours</w:t>
            </w:r>
          </w:p>
        </w:tc>
      </w:tr>
    </w:tbl>
    <w:p>
      <w:pPr>
        <w:spacing w:after="160"/>
      </w:pPr>
      <w:r>
        <w:t xml:space="preserve"/>
      </w:r>
    </w:p>
    <w:p>
      <w:pPr>
        <w:spacing w:after="160" w:before="0" w:line="276"/>
        <w:jc w:val="both"/>
      </w:pPr>
      <w:r>
        <w:rPr>
          <w:rFonts w:ascii="Calibri" w:cs="Calibri" w:eastAsia="Calibri" w:hAnsi="Calibri"/>
          <w:sz w:val="22"/>
          <w:szCs w:val="22"/>
        </w:rPr>
        <w:t xml:space="preserve">Tier 1 is satisfied if the offer is issued by close of the Business Day following the Business Day of receipt; Tier 2 is a fixed 8 Business Hours from receipt. Clause 8.2 governs attribution between legs.</w:t>
      </w:r>
    </w:p>
    <w:p>
      <w:pPr>
        <w:pStyle w:val="Heading2"/>
        <w:keepNext/>
        <w:spacing w:after="140" w:before="300"/>
      </w:pPr>
      <w:r>
        <w:rPr>
          <w:rFonts w:ascii="Calibri" w:cs="Calibri" w:eastAsia="Calibri" w:hAnsi="Calibri"/>
          <w:b/>
          <w:bCs/>
          <w:sz w:val="24"/>
          <w:szCs w:val="24"/>
        </w:rPr>
        <w:t xml:space="preserve">2. Selling Authorizations</w:t>
      </w:r>
    </w:p>
    <w:p>
      <w:pPr>
        <w:spacing w:after="160" w:before="0" w:line="276"/>
        <w:jc w:val="both"/>
      </w:pPr>
      <w:r>
        <w:rPr>
          <w:rFonts w:ascii="Calibri" w:cs="Calibri" w:eastAsia="Calibri" w:hAnsi="Calibri"/>
          <w:sz w:val="22"/>
          <w:szCs w:val="22"/>
        </w:rPr>
        <w:t xml:space="preserve">At every Tier, the OBVG leg runs from receipt of a Selling Authorization request to its submission to Automatum and is 2 Business Days, and the Automatum leg runs from that submission to issuance of the Selling Authorization and is 2 Business Days.</w:t>
      </w:r>
    </w:p>
    <w:p>
      <w:pPr>
        <w:pStyle w:val="Heading2"/>
        <w:keepNext/>
        <w:spacing w:after="140" w:before="300"/>
      </w:pPr>
      <w:r>
        <w:rPr>
          <w:rFonts w:ascii="Calibri" w:cs="Calibri" w:eastAsia="Calibri" w:hAnsi="Calibri"/>
          <w:b/>
          <w:bCs/>
          <w:sz w:val="24"/>
          <w:szCs w:val="24"/>
        </w:rPr>
        <w:t xml:space="preserve">3. Cadence commitments</w:t>
      </w:r>
    </w:p>
    <w:p>
      <w:pPr>
        <w:spacing w:after="160" w:before="0" w:line="276"/>
        <w:jc w:val="both"/>
      </w:pPr>
      <w:r>
        <w:rPr>
          <w:rFonts w:ascii="Calibri" w:cs="Calibri" w:eastAsia="Calibri" w:hAnsi="Calibri"/>
          <w:sz w:val="22"/>
          <w:szCs w:val="22"/>
        </w:rPr>
        <w:t xml:space="preserve">Training and enablement sessions and Channel Reviews run at the Tier cadences in the Schedule 1 Tier matrix, and the monthly reporting pack is due within 5 Business Days of month end at every Tier. A cadence commitment is met if the session or review is offered on at least two proposed dates within the period and is held, or is not held because of the Registered Client's unavailability.</w:t>
      </w:r>
    </w:p>
    <w:p>
      <w:pPr>
        <w:pStyle w:val="Heading2"/>
        <w:keepNext/>
        <w:spacing w:after="140" w:before="300"/>
      </w:pPr>
      <w:r>
        <w:rPr>
          <w:rFonts w:ascii="Calibri" w:cs="Calibri" w:eastAsia="Calibri" w:hAnsi="Calibri"/>
          <w:b/>
          <w:bCs/>
          <w:sz w:val="24"/>
          <w:szCs w:val="24"/>
        </w:rPr>
        <w:t xml:space="preserve">4. Metric dictionary</w:t>
      </w:r>
    </w:p>
    <w:p>
      <w:pPr>
        <w:spacing w:after="160" w:before="0" w:line="276"/>
        <w:jc w:val="both"/>
      </w:pPr>
      <w:r>
        <w:rPr>
          <w:rFonts w:ascii="Calibri" w:cs="Calibri" w:eastAsia="Calibri" w:hAnsi="Calibri"/>
          <w:b/>
          <w:bCs/>
          <w:sz w:val="22"/>
          <w:szCs w:val="22"/>
        </w:rPr>
        <w:t xml:space="preserve">4.1 Primary metric - Offer-Issuing Partners.</w:t>
      </w:r>
      <w:r>
        <w:rPr>
          <w:rFonts w:ascii="Calibri" w:cs="Calibri" w:eastAsia="Calibri" w:hAnsi="Calibri"/>
          <w:sz w:val="22"/>
          <w:szCs w:val="22"/>
        </w:rPr>
        <w:t xml:space="preserve"> The number of distinct Recruited Partners that created at least one private offer or CPPO against the Registered Client's product during the reporting month, read from the PSR offer record and reconciled against AWS Marketplace seller reporting. It applies only if the dependency in clause 14.2 is confirmed available by the longstop date in Schedule 8.</w:t>
      </w:r>
    </w:p>
    <w:p>
      <w:pPr>
        <w:spacing w:after="160" w:before="0" w:line="276"/>
        <w:jc w:val="both"/>
      </w:pPr>
      <w:r>
        <w:rPr>
          <w:rFonts w:ascii="Calibri" w:cs="Calibri" w:eastAsia="Calibri" w:hAnsi="Calibri"/>
          <w:b/>
          <w:bCs/>
          <w:sz w:val="22"/>
          <w:szCs w:val="22"/>
        </w:rPr>
        <w:t xml:space="preserve">4.2 Fallback metric - Partner-Attributed Transactions.</w:t>
      </w:r>
      <w:r>
        <w:rPr>
          <w:rFonts w:ascii="Calibri" w:cs="Calibri" w:eastAsia="Calibri" w:hAnsi="Calibri"/>
          <w:sz w:val="22"/>
          <w:szCs w:val="22"/>
        </w:rPr>
        <w:t xml:space="preserve"> The number of Transactions issued by Automatum against a Selling Authorization or private offer attributed to a named Recruited Partner through AWS Partner Revenue Measurement and a matching opportunity identifier during the reporting month, read from the PSR and reconciled against AWS Marketplace seller reporting. It applies automatically under clause 14.2 if the dependency is not confirmed by the longstop date.</w:t>
      </w:r>
    </w:p>
    <w:p>
      <w:pPr>
        <w:spacing w:after="160" w:before="0" w:line="276"/>
        <w:jc w:val="both"/>
      </w:pPr>
      <w:r>
        <w:rPr>
          <w:rFonts w:ascii="Calibri" w:cs="Calibri" w:eastAsia="Calibri" w:hAnsi="Calibri"/>
          <w:b/>
          <w:bCs/>
          <w:sz w:val="22"/>
          <w:szCs w:val="22"/>
        </w:rPr>
        <w:t xml:space="preserve">4.3 Supporting measures.</w:t>
      </w:r>
      <w:r>
        <w:rPr>
          <w:rFonts w:ascii="Calibri" w:cs="Calibri" w:eastAsia="Calibri" w:hAnsi="Calibri"/>
          <w:sz w:val="22"/>
          <w:szCs w:val="22"/>
        </w:rPr>
        <w:t xml:space="preserve"> The monthly reporting pack also reports Recruited Partners onboarded in the month and cumulatively; partners pending AWS prerequisites; Active Partners measured under Schedule 1 paragraph 5; deal registrations received, approved and declined; Deal Desk Requests and turnaround performance by leg; Selling Authorizations requested and issued; and channel revenue attributed.</w:t>
      </w:r>
    </w:p>
    <w:p>
      <w:pPr>
        <w:pStyle w:val="Heading2"/>
        <w:keepNext/>
        <w:spacing w:after="140" w:before="300"/>
      </w:pPr>
      <w:r>
        <w:rPr>
          <w:rFonts w:ascii="Calibri" w:cs="Calibri" w:eastAsia="Calibri" w:hAnsi="Calibri"/>
          <w:b/>
          <w:bCs/>
          <w:sz w:val="24"/>
          <w:szCs w:val="24"/>
        </w:rPr>
        <w:t xml:space="preserve">5. Support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88"/>
        <w:gridCol w:w="1232"/>
        <w:gridCol w:w="2340"/>
      </w:tblGrid>
      <w:tr>
        <w:trPr>
          <w:tblHeader/>
        </w:trPr>
        <w:tc>
          <w:tcPr>
            <w:tcW w:type="dxa" w:w="5788"/>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Matter</w:t>
            </w:r>
          </w:p>
        </w:tc>
        <w:tc>
          <w:tcPr>
            <w:tcW w:type="dxa" w:w="123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First line</w:t>
            </w:r>
          </w:p>
        </w:tc>
        <w:tc>
          <w:tcPr>
            <w:tcW w:type="dxa" w:w="234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Second line</w:t>
            </w:r>
          </w:p>
        </w:tc>
      </w:tr>
      <w:tr>
        <w:trPr>
          <w:tblHeader w:val="false"/>
        </w:trPr>
        <w:tc>
          <w:tcPr>
            <w:tcW w:type="dxa" w:w="5788"/>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partner queries, enablement</w:t>
            </w:r>
          </w:p>
        </w:tc>
        <w:tc>
          <w:tcPr>
            <w:tcW w:type="dxa" w:w="1232"/>
            <w:tcMar>
              <w:top w:type="dxa" w:w="60"/>
              <w:left w:type="dxa" w:w="108"/>
              <w:bottom w:type="dxa" w:w="60"/>
              <w:right w:type="dxa" w:w="108"/>
            </w:tcMar>
          </w:tcPr>
          <w:p>
            <w:pPr>
              <w:spacing w:after="0" w:before="0" w:line="240"/>
            </w:pPr>
            <w:r>
              <w:rPr>
                <w:rFonts w:ascii="Calibri" w:cs="Calibri" w:eastAsia="Calibri" w:hAnsi="Calibri"/>
                <w:sz w:val="19"/>
                <w:szCs w:val="19"/>
              </w:rPr>
              <w:t xml:space="preserve">OBVG</w:t>
            </w:r>
          </w:p>
        </w:tc>
        <w:tc>
          <w:tcPr>
            <w:tcW w:type="dxa" w:w="2340"/>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r>
        <w:trPr>
          <w:tblHeader w:val="false"/>
        </w:trPr>
        <w:tc>
          <w:tcPr>
            <w:tcW w:type="dxa" w:w="5788"/>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and deal registration</w:t>
            </w:r>
          </w:p>
        </w:tc>
        <w:tc>
          <w:tcPr>
            <w:tcW w:type="dxa" w:w="1232"/>
            <w:tcMar>
              <w:top w:type="dxa" w:w="60"/>
              <w:left w:type="dxa" w:w="108"/>
              <w:bottom w:type="dxa" w:w="60"/>
              <w:right w:type="dxa" w:w="108"/>
            </w:tcMar>
          </w:tcPr>
          <w:p>
            <w:pPr>
              <w:spacing w:after="0" w:before="0" w:line="240"/>
            </w:pPr>
            <w:r>
              <w:rPr>
                <w:rFonts w:ascii="Calibri" w:cs="Calibri" w:eastAsia="Calibri" w:hAnsi="Calibri"/>
                <w:sz w:val="19"/>
                <w:szCs w:val="19"/>
              </w:rPr>
              <w:t xml:space="preserve">OBVG</w:t>
            </w:r>
          </w:p>
        </w:tc>
        <w:tc>
          <w:tcPr>
            <w:tcW w:type="dxa" w:w="2340"/>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r>
        <w:trPr>
          <w:tblHeader w:val="false"/>
        </w:trPr>
        <w:tc>
          <w:tcPr>
            <w:tcW w:type="dxa" w:w="5788"/>
            <w:tcMar>
              <w:top w:type="dxa" w:w="60"/>
              <w:left w:type="dxa" w:w="108"/>
              <w:bottom w:type="dxa" w:w="60"/>
              <w:right w:type="dxa" w:w="108"/>
            </w:tcMar>
          </w:tcPr>
          <w:p>
            <w:pPr>
              <w:spacing w:after="0" w:before="0" w:line="240"/>
            </w:pPr>
            <w:r>
              <w:rPr>
                <w:rFonts w:ascii="Calibri" w:cs="Calibri" w:eastAsia="Calibri" w:hAnsi="Calibri"/>
                <w:sz w:val="19"/>
                <w:szCs w:val="19"/>
              </w:rPr>
              <w:t xml:space="preserve">Partner System of Record</w:t>
            </w:r>
          </w:p>
        </w:tc>
        <w:tc>
          <w:tcPr>
            <w:tcW w:type="dxa" w:w="1232"/>
            <w:tcMar>
              <w:top w:type="dxa" w:w="60"/>
              <w:left w:type="dxa" w:w="108"/>
              <w:bottom w:type="dxa" w:w="60"/>
              <w:right w:type="dxa" w:w="108"/>
            </w:tcMar>
          </w:tcPr>
          <w:p>
            <w:pPr>
              <w:spacing w:after="0" w:before="0" w:line="240"/>
            </w:pPr>
            <w:r>
              <w:rPr>
                <w:rFonts w:ascii="Calibri" w:cs="Calibri" w:eastAsia="Calibri" w:hAnsi="Calibri"/>
                <w:sz w:val="19"/>
                <w:szCs w:val="19"/>
              </w:rPr>
              <w:t xml:space="preserve">OBVG</w:t>
            </w:r>
          </w:p>
        </w:tc>
        <w:tc>
          <w:tcPr>
            <w:tcW w:type="dxa" w:w="2340"/>
            <w:tcMar>
              <w:top w:type="dxa" w:w="60"/>
              <w:left w:type="dxa" w:w="108"/>
              <w:bottom w:type="dxa" w:w="60"/>
              <w:right w:type="dxa" w:w="108"/>
            </w:tcMar>
          </w:tcPr>
          <w:p>
            <w:pPr>
              <w:spacing w:after="0" w:before="0" w:line="240"/>
            </w:pPr>
            <w:r>
              <w:rPr>
                <w:rFonts w:ascii="Calibri" w:cs="Calibri" w:eastAsia="Calibri" w:hAnsi="Calibri"/>
                <w:sz w:val="19"/>
                <w:szCs w:val="19"/>
              </w:rPr>
              <w:t xml:space="preserve">PSR vendor via OBVG</w:t>
            </w:r>
          </w:p>
        </w:tc>
      </w:tr>
      <w:tr>
        <w:trPr>
          <w:tblHeader w:val="false"/>
        </w:trPr>
        <w:tc>
          <w:tcPr>
            <w:tcW w:type="dxa" w:w="5788"/>
            <w:tcMar>
              <w:top w:type="dxa" w:w="60"/>
              <w:left w:type="dxa" w:w="108"/>
              <w:bottom w:type="dxa" w:w="60"/>
              <w:right w:type="dxa" w:w="108"/>
            </w:tcMar>
          </w:tcPr>
          <w:p>
            <w:pPr>
              <w:spacing w:after="0" w:before="0" w:line="240"/>
            </w:pPr>
            <w:r>
              <w:rPr>
                <w:rFonts w:ascii="Calibri" w:cs="Calibri" w:eastAsia="Calibri" w:hAnsi="Calibri"/>
                <w:sz w:val="19"/>
                <w:szCs w:val="19"/>
              </w:rPr>
              <w:t xml:space="preserve">Listing, offer issuance, Selling Authorizations</w:t>
            </w:r>
          </w:p>
        </w:tc>
        <w:tc>
          <w:tcPr>
            <w:tcW w:type="dxa" w:w="1232"/>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c>
          <w:tcPr>
            <w:tcW w:type="dxa" w:w="2340"/>
            <w:tcMar>
              <w:top w:type="dxa" w:w="60"/>
              <w:left w:type="dxa" w:w="108"/>
              <w:bottom w:type="dxa" w:w="60"/>
              <w:right w:type="dxa" w:w="108"/>
            </w:tcMar>
          </w:tcPr>
          <w:p>
            <w:pPr>
              <w:spacing w:after="0" w:before="0" w:line="240"/>
            </w:pPr>
            <w:r>
              <w:rPr>
                <w:rFonts w:ascii="Calibri" w:cs="Calibri" w:eastAsia="Calibri" w:hAnsi="Calibri"/>
                <w:sz w:val="19"/>
                <w:szCs w:val="19"/>
              </w:rPr>
              <w:t xml:space="preserve">AWS via Automatum</w:t>
            </w:r>
          </w:p>
        </w:tc>
      </w:tr>
    </w:tbl>
    <w:p>
      <w:pPr>
        <w:spacing w:after="160"/>
      </w:pPr>
      <w:r>
        <w:t xml:space="preserve"/>
      </w:r>
    </w:p>
    <w:p>
      <w:pPr>
        <w:spacing w:after="160" w:before="0" w:line="276"/>
        <w:jc w:val="both"/>
      </w:pPr>
      <w:r>
        <w:rPr>
          <w:rFonts w:ascii="Calibri" w:cs="Calibri" w:eastAsia="Calibri" w:hAnsi="Calibri"/>
          <w:sz w:val="22"/>
          <w:szCs w:val="22"/>
        </w:rPr>
        <w:t xml:space="preserve">All contact arrives through the single Automatum-branded intake under Schedule 3 paragraph 2.1. OBVG triages within 2 Business Hours and routes to the correct first line. A misrouted matter is handed over within 2 Business Hours of identification, and the receiving Party's clock starts on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3"/>
        <w:gridCol w:w="5373"/>
        <w:gridCol w:w="1387"/>
        <w:gridCol w:w="1907"/>
      </w:tblGrid>
      <w:tr>
        <w:trPr>
          <w:tblHeader/>
        </w:trPr>
        <w:tc>
          <w:tcPr>
            <w:tcW w:type="dxa" w:w="69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Priority</w:t>
            </w:r>
          </w:p>
        </w:tc>
        <w:tc>
          <w:tcPr>
            <w:tcW w:type="dxa" w:w="537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Definition</w:t>
            </w:r>
          </w:p>
        </w:tc>
        <w:tc>
          <w:tcPr>
            <w:tcW w:type="dxa" w:w="138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Response</w:t>
            </w:r>
          </w:p>
        </w:tc>
        <w:tc>
          <w:tcPr>
            <w:tcW w:type="dxa" w:w="190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Updates</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P1</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A Registered Client cannot transact, or the PSR is unavailable</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1 Business Hour</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every 4 Business Hours</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P2</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A partner is blocked on a live deal</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4 Business Hours</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daily</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P3</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A partner or Client query not blocking a deal</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1 Business Day</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every 3 Business Days</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P4</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Request for information or change</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3 Business Days</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weekly</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6. Credits</w:t>
      </w:r>
    </w:p>
    <w:p>
      <w:pPr>
        <w:spacing w:after="160" w:before="0" w:line="276"/>
        <w:jc w:val="both"/>
      </w:pPr>
      <w:r>
        <w:rPr>
          <w:rFonts w:ascii="Calibri" w:cs="Calibri" w:eastAsia="Calibri" w:hAnsi="Calibri"/>
          <w:sz w:val="22"/>
          <w:szCs w:val="22"/>
        </w:rPr>
        <w:t xml:space="preserve">Clause 8.4 governs flow-down of Service Credits, clause 8.5 governs the caps on that flow-down and clause 8.7 governs Chronic Failure. A Service Credit is measured against the Registered Client's gross monthly Client Fees. A Service Credit deducted under clause 8.4 is not reversed or reduced by reference to subsequent service level performance.</w:t>
      </w:r>
    </w:p>
    <w:p>
      <w:pPr>
        <w:pStyle w:val="Heading1"/>
        <w:pageBreakBefore/>
        <w:spacing w:after="200" w:before="240"/>
        <w:jc w:val="left"/>
      </w:pPr>
      <w:r>
        <w:rPr>
          <w:rFonts w:ascii="Calibri" w:cs="Calibri" w:eastAsia="Calibri" w:hAnsi="Calibri"/>
          <w:b/>
          <w:bCs/>
          <w:sz w:val="28"/>
          <w:szCs w:val="28"/>
        </w:rPr>
        <w:t xml:space="preserve">Schedule 5 - Partner System of Record</w:t>
      </w:r>
    </w:p>
    <w:p>
      <w:pPr>
        <w:pStyle w:val="Heading2"/>
        <w:keepNext/>
        <w:spacing w:after="140" w:before="300"/>
      </w:pPr>
      <w:r>
        <w:rPr>
          <w:rFonts w:ascii="Calibri" w:cs="Calibri" w:eastAsia="Calibri" w:hAnsi="Calibri"/>
          <w:b/>
          <w:bCs/>
          <w:sz w:val="24"/>
          <w:szCs w:val="24"/>
        </w:rPr>
        <w:t xml:space="preserve">Part A - Vendor and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3"/>
        <w:gridCol w:w="6197"/>
      </w:tblGrid>
      <w:tr>
        <w:trPr>
          <w:tblHeader/>
        </w:trPr>
        <w:tc>
          <w:tcPr>
            <w:tcW w:type="dxa" w:w="316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619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Detail</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PSR vendor legal name</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PSR vendor legal name]</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Product name and edition</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product name and edition]</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OBVG's license term and expiry</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license term and expiry date]</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Unlimited partner records?</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yes, or the threshold above which cost passes through under Schedule 1 paragraph 3]</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Seats included per Tier</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seats for Tier 1 / Tier 2 / Tier 3]</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White label branding and custom domain supported?</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yes or no, and any element that cannot be unbranded under clause 10.2]</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Tenancy model</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per-Client tenant or shared with logical separation]</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Hosting regions</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hosting regions]</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Security certifications</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SOC 2 Type II / ISO 27001 status and report date]</w:t>
            </w:r>
          </w:p>
        </w:tc>
      </w:tr>
    </w:tbl>
    <w:p>
      <w:pPr>
        <w:spacing w:after="160"/>
      </w:pPr>
      <w:r>
        <w:t xml:space="preserve"/>
      </w:r>
    </w:p>
    <w:p>
      <w:pPr>
        <w:spacing w:after="160" w:before="0" w:line="276"/>
        <w:jc w:val="both"/>
      </w:pPr>
      <w:r>
        <w:rPr>
          <w:rFonts w:ascii="Calibri" w:cs="Calibri" w:eastAsia="Calibri" w:hAnsi="Calibri"/>
          <w:sz w:val="22"/>
          <w:szCs w:val="22"/>
        </w:rPr>
        <w:t xml:space="preserve">Clause 10.1 applies to the license term. The PSR license cost is included in the OBVG Service Revenue and is not separately chargeable, subject to Schedule 1 paragraph 3.</w:t>
      </w:r>
    </w:p>
    <w:p>
      <w:pPr>
        <w:pStyle w:val="Heading2"/>
        <w:keepNext/>
        <w:spacing w:after="140" w:before="300"/>
      </w:pPr>
      <w:r>
        <w:rPr>
          <w:rFonts w:ascii="Calibri" w:cs="Calibri" w:eastAsia="Calibri" w:hAnsi="Calibri"/>
          <w:b/>
          <w:bCs/>
          <w:sz w:val="24"/>
          <w:szCs w:val="24"/>
        </w:rPr>
        <w:t xml:space="preserve">Part B - Functional scope</w:t>
      </w:r>
    </w:p>
    <w:p>
      <w:pPr>
        <w:spacing w:after="160" w:before="0" w:line="276"/>
        <w:jc w:val="both"/>
      </w:pPr>
      <w:r>
        <w:rPr>
          <w:rFonts w:ascii="Calibri" w:cs="Calibri" w:eastAsia="Calibri" w:hAnsi="Calibri"/>
          <w:sz w:val="22"/>
          <w:szCs w:val="22"/>
        </w:rPr>
        <w:t xml:space="preserve">The PSR provides, for each Registered Client and under the Automatum Brand: a partner portal; an onboarding workflow including AWS registration, tax, banking and service-linked role status tracking; a deal registration, approval and decline workflow with audit history; commission tracking and accrual against the margin schedule; offer and Selling Authorization records, being the audit source for the metrics in Schedule 4 paragraph 4; synchronization with HubSpot and Salesforce as specified in the Engagement Order, which states the instances to be synchronized, the master system, the direction of synchronization and which party holds each license; reporting supporting the monthly reporting pack under clause 5.1(k); and the append-only event log required by clause 10.5.</w:t>
      </w:r>
    </w:p>
    <w:p>
      <w:pPr>
        <w:spacing w:after="160" w:before="0" w:line="276"/>
        <w:jc w:val="both"/>
      </w:pPr>
      <w:r>
        <w:rPr>
          <w:rFonts w:ascii="Calibri" w:cs="Calibri" w:eastAsia="Calibri" w:hAnsi="Calibri"/>
          <w:sz w:val="22"/>
          <w:szCs w:val="22"/>
        </w:rPr>
        <w:t xml:space="preserve">Where a Registered Client's HubSpot or Salesforce instance is in scope for synchronization, the Client's cooperation is a dependency to which clause 6.7 applies.</w:t>
      </w:r>
    </w:p>
    <w:p>
      <w:pPr>
        <w:pStyle w:val="Heading2"/>
        <w:keepNext/>
        <w:spacing w:after="140" w:before="300"/>
      </w:pPr>
      <w:r>
        <w:rPr>
          <w:rFonts w:ascii="Calibri" w:cs="Calibri" w:eastAsia="Calibri" w:hAnsi="Calibri"/>
          <w:b/>
          <w:bCs/>
          <w:sz w:val="24"/>
          <w:szCs w:val="24"/>
        </w:rPr>
        <w:t xml:space="preserve">Part C - Data, processing and security</w:t>
      </w:r>
    </w:p>
    <w:p>
      <w:pPr>
        <w:spacing w:after="160" w:before="0" w:line="276"/>
        <w:jc w:val="both"/>
      </w:pPr>
      <w:r>
        <w:rPr>
          <w:rFonts w:ascii="Calibri" w:cs="Calibri" w:eastAsia="Calibri" w:hAnsi="Calibri"/>
          <w:b/>
          <w:bCs/>
          <w:sz w:val="22"/>
          <w:szCs w:val="22"/>
        </w:rPr>
        <w:t xml:space="preserve">1. Processing particulars.</w:t>
      </w:r>
      <w:r>
        <w:rPr>
          <w:rFonts w:ascii="Calibri" w:cs="Calibri" w:eastAsia="Calibri" w:hAnsi="Calibri"/>
          <w:sz w:val="22"/>
          <w:szCs w:val="22"/>
        </w:rPr>
        <w:t xml:space="preserve"> Subject matter: operation of a reseller channel for a Registered Client. Duration: the Engagement plus the transition period plus the retention period in clause 10.5. Nature and purpose: partner onboarding, deal registration, commission tracking, offer tracking and reporting. Personal Data: business contact details, job titles and professional profile information of Recruited Partner and Registered Client personnel. Data subjects: personnel of Recruited Partners, Registered Clients and the Parties. No special category data.</w:t>
      </w:r>
    </w:p>
    <w:p>
      <w:pPr>
        <w:spacing w:after="160" w:before="0" w:line="276"/>
        <w:jc w:val="both"/>
      </w:pPr>
      <w:r>
        <w:rPr>
          <w:rFonts w:ascii="Calibri" w:cs="Calibri" w:eastAsia="Calibri" w:hAnsi="Calibri"/>
          <w:b/>
          <w:bCs/>
          <w:sz w:val="22"/>
          <w:szCs w:val="22"/>
        </w:rPr>
        <w:t xml:space="preserve">2. Export schema.</w:t>
      </w:r>
      <w:r>
        <w:rPr>
          <w:rFonts w:ascii="Calibri" w:cs="Calibri" w:eastAsia="Calibri" w:hAnsi="Calibri"/>
          <w:sz w:val="22"/>
          <w:szCs w:val="22"/>
        </w:rPr>
        <w:t xml:space="preserve"> OBVG maintains a documented, versioned machine-readable export schema with a data dictionary covering partner records, partner agreements and status, deal registrations, the commission ledger and accruals, opportunity records and ACE identifiers, offer and Selling Authorization records, attribution configuration and outputs, and the event log. Clause 10.4 governs frequency and restore testing.</w:t>
      </w:r>
    </w:p>
    <w:p>
      <w:pPr>
        <w:spacing w:after="160" w:before="0" w:line="276"/>
        <w:jc w:val="both"/>
      </w:pPr>
      <w:r>
        <w:rPr>
          <w:rFonts w:ascii="Calibri" w:cs="Calibri" w:eastAsia="Calibri" w:hAnsi="Calibri"/>
          <w:b/>
          <w:bCs/>
          <w:sz w:val="22"/>
          <w:szCs w:val="22"/>
        </w:rPr>
        <w:t xml:space="preserve">3. Security controls.</w:t>
      </w:r>
      <w:r>
        <w:rPr>
          <w:rFonts w:ascii="Calibri" w:cs="Calibri" w:eastAsia="Calibri" w:hAnsi="Calibri"/>
          <w:sz w:val="22"/>
          <w:szCs w:val="22"/>
        </w:rPr>
        <w:t xml:space="preserve"> Role-based access control with least privilege and quarterly access review; multi-factor authentication for administrative access; encryption in transit using current TLS and at rest; centralized logging and alerting; documented vulnerability management with remediation timescales by severity; annual penetration test with a summary available to Automatum; background screening of personnel with access; documented incident response; and a secure development lifecycle for any OBVG-built extension.</w:t>
      </w:r>
    </w:p>
    <w:p>
      <w:pPr>
        <w:spacing w:after="160" w:before="0" w:line="276"/>
        <w:jc w:val="both"/>
      </w:pPr>
      <w:r>
        <w:rPr>
          <w:rFonts w:ascii="Calibri" w:cs="Calibri" w:eastAsia="Calibri" w:hAnsi="Calibri"/>
          <w:b/>
          <w:bCs/>
          <w:sz w:val="22"/>
          <w:szCs w:val="22"/>
        </w:rPr>
        <w:t xml:space="preserve">4. Subprocessors.</w:t>
      </w:r>
      <w:r>
        <w:rPr>
          <w:rFonts w:ascii="Calibri" w:cs="Calibri" w:eastAsia="Calibri" w:hAnsi="Calibri"/>
          <w:sz w:val="22"/>
          <w:szCs w:val="22"/>
        </w:rPr>
        <w:t xml:space="preserve"> [to supply: subprocessor list, with name, role and processing location]. Clause 18.3 governs changes.</w:t>
      </w:r>
    </w:p>
    <w:p>
      <w:pPr>
        <w:pStyle w:val="Heading2"/>
        <w:keepNext/>
        <w:spacing w:after="140" w:before="300"/>
      </w:pPr>
      <w:r>
        <w:rPr>
          <w:rFonts w:ascii="Calibri" w:cs="Calibri" w:eastAsia="Calibri" w:hAnsi="Calibri"/>
          <w:b/>
          <w:bCs/>
          <w:sz w:val="24"/>
          <w:szCs w:val="24"/>
        </w:rPr>
        <w:t xml:space="preserve">Part D - Form of vendor continuity undertaking</w:t>
      </w:r>
    </w:p>
    <w:p>
      <w:pPr>
        <w:spacing w:after="160" w:before="0" w:line="276"/>
        <w:jc w:val="both"/>
      </w:pPr>
      <w:r>
        <w:rPr>
          <w:rFonts w:ascii="Calibri" w:cs="Calibri" w:eastAsia="Calibri" w:hAnsi="Calibri"/>
          <w:sz w:val="22"/>
          <w:szCs w:val="22"/>
        </w:rPr>
        <w:t xml:space="preserve">The undertaking required by clause 10.7 must be given by the PSR vendor in favor of Automatum and provide, in substance, that on OBVG's insolvency, cessation of business, or termination of this Agreement for OBVG's breach, the vendor will at Automatum's election and on its notice contract directly with Automatum or its nominee for the remainder of the affected Engagement Orders plus the transition period in clause 24.1; at the rates OBVG then pays or rates benchmarked to the vendor's then-current list price for equivalent volume, whichever is lower; preserve each affected Registered Client's tenant and data intact and available without interruption; and not delete or withhold tenant data for at least 90 days after the triggering event.</w:t>
      </w:r>
    </w:p>
    <w:p>
      <w:pPr>
        <w:spacing w:after="160" w:before="0" w:line="276"/>
        <w:jc w:val="both"/>
      </w:pPr>
      <w:r>
        <w:rPr>
          <w:rFonts w:ascii="Calibri" w:cs="Calibri" w:eastAsia="Calibri" w:hAnsi="Calibri"/>
          <w:sz w:val="22"/>
          <w:szCs w:val="22"/>
        </w:rPr>
        <w:t xml:space="preserve">[to supply: executed vendor continuity undertaking]</w:t>
      </w:r>
    </w:p>
    <w:p>
      <w:pPr>
        <w:pStyle w:val="Heading1"/>
        <w:pageBreakBefore/>
        <w:spacing w:after="200" w:before="240"/>
        <w:jc w:val="left"/>
      </w:pPr>
      <w:r>
        <w:rPr>
          <w:rFonts w:ascii="Calibri" w:cs="Calibri" w:eastAsia="Calibri" w:hAnsi="Calibri"/>
          <w:b/>
          <w:bCs/>
          <w:sz w:val="28"/>
          <w:szCs w:val="28"/>
        </w:rPr>
        <w:t xml:space="preserve">Schedule 6 - Form of Engagement Order</w:t>
      </w:r>
    </w:p>
    <w:p>
      <w:pPr>
        <w:spacing w:after="160" w:before="0" w:line="276"/>
        <w:jc w:val="both"/>
      </w:pPr>
      <w:r>
        <w:rPr>
          <w:rFonts w:ascii="Calibri" w:cs="Calibri" w:eastAsia="Calibri" w:hAnsi="Calibri"/>
          <w:b/>
          <w:bCs/>
          <w:sz w:val="22"/>
          <w:szCs w:val="22"/>
        </w:rPr>
        <w:t xml:space="preserve">Engagement Order No. [ ] under the White Label Delivery Agreement dated [to supply: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1"/>
        <w:gridCol w:w="4519"/>
      </w:tblGrid>
      <w:tr>
        <w:trPr>
          <w:tblHeader/>
        </w:trPr>
        <w:tc>
          <w:tcPr>
            <w:tcW w:type="dxa" w:w="4841"/>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451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Detail</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Registered Client legal name</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Agreement reference and date</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Confirmation the Client Agreement complies with clause 6.5</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Yes / No</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Tier</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1 / 2 / 3</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Status (clause 4.7)</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Net New Client / Existing Automatum Client</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Source (clause 4.7)</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OBVG-Sourced / Automatum-Sourced / Joint or ACE-Sourced</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Engagement start date and Engagement Year dates</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Fees per month</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Platform Revenue per Engagement Year</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Service Revenue split</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100% OBVG (Net New) / 75% OBVG, 25% Automatum (Existing)</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OBVG Service Revenue per month</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Named Channel Manager and Backup</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Named Deal Desk Owner (Tier 3) and coverage window</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PSR seats, tenancy and partner record threshold</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HubSpot and Salesforce instances, master and sync direction</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Intake channel and CRM of record</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Ideal partner profile</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Request and Issuance-Ready Package forms</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Attached</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Baseline Assumptions and Onboarding Throughput Rate (Tier 3)</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Unlimited partner license warranted? (Tier 3)</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Yes / No</w:t>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Prior Relationships notified under clause 4.4</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841"/>
            <w:tcMar>
              <w:top w:type="dxa" w:w="60"/>
              <w:left w:type="dxa" w:w="108"/>
              <w:bottom w:type="dxa" w:w="60"/>
              <w:right w:type="dxa" w:w="108"/>
            </w:tcMar>
          </w:tcPr>
          <w:p>
            <w:pPr>
              <w:spacing w:after="0" w:before="0" w:line="240"/>
            </w:pPr>
            <w:r>
              <w:rPr>
                <w:rFonts w:ascii="Calibri" w:cs="Calibri" w:eastAsia="Calibri" w:hAnsi="Calibri"/>
                <w:sz w:val="19"/>
                <w:szCs w:val="19"/>
              </w:rPr>
              <w:t xml:space="preserve">Variations under clause 2.2, if any</w:t>
            </w:r>
          </w:p>
        </w:tc>
        <w:tc>
          <w:tcPr>
            <w:tcW w:type="dxa" w:w="4519"/>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p>
      <w:pPr>
        <w:spacing w:after="120"/>
      </w:pPr>
      <w:r>
        <w:t xml:space="preserve"/>
      </w:r>
    </w:p>
    <w:p>
      <w:pPr>
        <w:spacing w:after="160" w:before="0" w:line="276"/>
        <w:jc w:val="both"/>
      </w:pPr>
      <w:r>
        <w:rPr>
          <w:rFonts w:ascii="Calibri" w:cs="Calibri" w:eastAsia="Calibri" w:hAnsi="Calibri"/>
          <w:b/>
          <w:bCs/>
          <w:sz w:val="22"/>
          <w:szCs w:val="22"/>
        </w:rPr>
        <w:t xml:space="preserve">For and on behalf of Automatum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Signature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Name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Title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Date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p>
      <w:pPr>
        <w:spacing w:after="120"/>
      </w:pPr>
      <w:r>
        <w:t xml:space="preserve"/>
      </w:r>
    </w:p>
    <w:p>
      <w:pPr>
        <w:spacing w:after="160" w:before="0" w:line="276"/>
        <w:jc w:val="both"/>
      </w:pPr>
      <w:r>
        <w:rPr>
          <w:rFonts w:ascii="Calibri" w:cs="Calibri" w:eastAsia="Calibri" w:hAnsi="Calibri"/>
          <w:b/>
          <w:bCs/>
          <w:sz w:val="22"/>
          <w:szCs w:val="22"/>
        </w:rPr>
        <w:t xml:space="preserve">For and on behalf of OBVG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Signature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Name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Title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5616"/>
            <w:tcMar>
              <w:top w:type="dxa" w:w="60"/>
              <w:left w:type="dxa" w:w="108"/>
              <w:bottom w:type="dxa" w:w="60"/>
              <w:right w:type="dxa" w:w="108"/>
            </w:tcMar>
          </w:tcPr>
          <w:p>
            <w:pPr>
              <w:spacing w:after="0" w:before="0" w:line="240"/>
            </w:pPr>
            <w:r>
              <w:rPr>
                <w:rFonts w:ascii="Calibri" w:cs="Calibri" w:eastAsia="Calibri" w:hAnsi="Calibri"/>
                <w:sz w:val="19"/>
                <w:szCs w:val="19"/>
              </w:rPr>
              <w:t xml:space="preserve">Date</w:t>
            </w:r>
          </w:p>
        </w:tc>
        <w:tc>
          <w:tcPr>
            <w:tcW w:type="dxa" w:w="374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p>
      <w:pPr>
        <w:pStyle w:val="Heading1"/>
        <w:pageBreakBefore/>
        <w:spacing w:after="200" w:before="240"/>
        <w:jc w:val="left"/>
      </w:pPr>
      <w:r>
        <w:rPr>
          <w:rFonts w:ascii="Calibri" w:cs="Calibri" w:eastAsia="Calibri" w:hAnsi="Calibri"/>
          <w:b/>
          <w:bCs/>
          <w:sz w:val="28"/>
          <w:szCs w:val="28"/>
        </w:rPr>
        <w:t xml:space="preserve">Schedule 7 - Key Personnel, Coverage and Capacity</w:t>
      </w:r>
    </w:p>
    <w:p>
      <w:pPr>
        <w:pStyle w:val="Heading2"/>
        <w:keepNext/>
        <w:spacing w:after="140" w:before="300"/>
      </w:pPr>
      <w:r>
        <w:rPr>
          <w:rFonts w:ascii="Calibri" w:cs="Calibri" w:eastAsia="Calibri" w:hAnsi="Calibri"/>
          <w:b/>
          <w:bCs/>
          <w:sz w:val="24"/>
          <w:szCs w:val="24"/>
        </w:rPr>
        <w:t xml:space="preserve">1. Named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4"/>
        <w:gridCol w:w="520"/>
        <w:gridCol w:w="2674"/>
        <w:gridCol w:w="4532"/>
      </w:tblGrid>
      <w:tr>
        <w:trPr>
          <w:tblHeader/>
        </w:trPr>
        <w:tc>
          <w:tcPr>
            <w:tcW w:type="dxa" w:w="163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Role</w:t>
            </w:r>
          </w:p>
        </w:tc>
        <w:tc>
          <w:tcPr>
            <w:tcW w:type="dxa" w:w="52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Tiers</w:t>
            </w:r>
          </w:p>
        </w:tc>
        <w:tc>
          <w:tcPr>
            <w:tcW w:type="dxa" w:w="267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Committed hours per Engagement Month</w:t>
            </w:r>
          </w:p>
        </w:tc>
        <w:tc>
          <w:tcPr>
            <w:tcW w:type="dxa" w:w="453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Coverage window</w:t>
            </w:r>
          </w:p>
        </w:tc>
      </w:tr>
      <w:tr>
        <w:trPr>
          <w:tblHeader w:val="false"/>
        </w:trPr>
        <w:tc>
          <w:tcPr>
            <w:tcW w:type="dxa" w:w="1634"/>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Manager</w:t>
            </w:r>
          </w:p>
        </w:tc>
        <w:tc>
          <w:tcPr>
            <w:tcW w:type="dxa" w:w="520"/>
            <w:tcMar>
              <w:top w:type="dxa" w:w="60"/>
              <w:left w:type="dxa" w:w="108"/>
              <w:bottom w:type="dxa" w:w="60"/>
              <w:right w:type="dxa" w:w="108"/>
            </w:tcMar>
          </w:tcPr>
          <w:p>
            <w:pPr>
              <w:spacing w:after="0" w:before="0" w:line="240"/>
            </w:pPr>
            <w:r>
              <w:rPr>
                <w:rFonts w:ascii="Calibri" w:cs="Calibri" w:eastAsia="Calibri" w:hAnsi="Calibri"/>
                <w:sz w:val="19"/>
                <w:szCs w:val="19"/>
              </w:rPr>
              <w:t xml:space="preserve">1, 2, 3</w:t>
            </w:r>
          </w:p>
        </w:tc>
        <w:tc>
          <w:tcPr>
            <w:tcW w:type="dxa" w:w="2674"/>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hours per Tier]</w:t>
            </w:r>
          </w:p>
        </w:tc>
        <w:tc>
          <w:tcPr>
            <w:tcW w:type="dxa" w:w="4532"/>
            <w:tcMar>
              <w:top w:type="dxa" w:w="60"/>
              <w:left w:type="dxa" w:w="108"/>
              <w:bottom w:type="dxa" w:w="60"/>
              <w:right w:type="dxa" w:w="108"/>
            </w:tcMar>
          </w:tcPr>
          <w:p>
            <w:pPr>
              <w:spacing w:after="0" w:before="0" w:line="240"/>
            </w:pPr>
            <w:r>
              <w:rPr>
                <w:rFonts w:ascii="Calibri" w:cs="Calibri" w:eastAsia="Calibri" w:hAnsi="Calibri"/>
                <w:sz w:val="19"/>
                <w:szCs w:val="19"/>
              </w:rPr>
              <w:t xml:space="preserve">Business Hours</w:t>
            </w:r>
          </w:p>
        </w:tc>
      </w:tr>
      <w:tr>
        <w:trPr>
          <w:tblHeader w:val="false"/>
        </w:trPr>
        <w:tc>
          <w:tcPr>
            <w:tcW w:type="dxa" w:w="1634"/>
            <w:tcMar>
              <w:top w:type="dxa" w:w="60"/>
              <w:left w:type="dxa" w:w="108"/>
              <w:bottom w:type="dxa" w:w="60"/>
              <w:right w:type="dxa" w:w="108"/>
            </w:tcMar>
          </w:tcPr>
          <w:p>
            <w:pPr>
              <w:spacing w:after="0" w:before="0" w:line="240"/>
            </w:pPr>
            <w:r>
              <w:rPr>
                <w:rFonts w:ascii="Calibri" w:cs="Calibri" w:eastAsia="Calibri" w:hAnsi="Calibri"/>
                <w:sz w:val="19"/>
                <w:szCs w:val="19"/>
              </w:rPr>
              <w:t xml:space="preserve">Backup Channel Manager</w:t>
            </w:r>
          </w:p>
        </w:tc>
        <w:tc>
          <w:tcPr>
            <w:tcW w:type="dxa" w:w="520"/>
            <w:tcMar>
              <w:top w:type="dxa" w:w="60"/>
              <w:left w:type="dxa" w:w="108"/>
              <w:bottom w:type="dxa" w:w="60"/>
              <w:right w:type="dxa" w:w="108"/>
            </w:tcMar>
          </w:tcPr>
          <w:p>
            <w:pPr>
              <w:spacing w:after="0" w:before="0" w:line="240"/>
            </w:pPr>
            <w:r>
              <w:rPr>
                <w:rFonts w:ascii="Calibri" w:cs="Calibri" w:eastAsia="Calibri" w:hAnsi="Calibri"/>
                <w:sz w:val="19"/>
                <w:szCs w:val="19"/>
              </w:rPr>
              <w:t xml:space="preserve">1, 2, 3</w:t>
            </w:r>
          </w:p>
        </w:tc>
        <w:tc>
          <w:tcPr>
            <w:tcW w:type="dxa" w:w="2674"/>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hours per Tier]</w:t>
            </w:r>
          </w:p>
        </w:tc>
        <w:tc>
          <w:tcPr>
            <w:tcW w:type="dxa" w:w="4532"/>
            <w:tcMar>
              <w:top w:type="dxa" w:w="60"/>
              <w:left w:type="dxa" w:w="108"/>
              <w:bottom w:type="dxa" w:w="60"/>
              <w:right w:type="dxa" w:w="108"/>
            </w:tcMar>
          </w:tcPr>
          <w:p>
            <w:pPr>
              <w:spacing w:after="0" w:before="0" w:line="240"/>
            </w:pPr>
            <w:r>
              <w:rPr>
                <w:rFonts w:ascii="Calibri" w:cs="Calibri" w:eastAsia="Calibri" w:hAnsi="Calibri"/>
                <w:sz w:val="19"/>
                <w:szCs w:val="19"/>
              </w:rPr>
              <w:t xml:space="preserve">Business Hours</w:t>
            </w:r>
          </w:p>
        </w:tc>
      </w:tr>
      <w:tr>
        <w:trPr>
          <w:tblHeader w:val="false"/>
        </w:trPr>
        <w:tc>
          <w:tcPr>
            <w:tcW w:type="dxa" w:w="1634"/>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Owner</w:t>
            </w:r>
          </w:p>
        </w:tc>
        <w:tc>
          <w:tcPr>
            <w:tcW w:type="dxa" w:w="520"/>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2674"/>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hours]</w:t>
            </w:r>
          </w:p>
        </w:tc>
        <w:tc>
          <w:tcPr>
            <w:tcW w:type="dxa" w:w="4532"/>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coverage window, stated in the Engagement Order]</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2. Capacity ratios</w:t>
      </w:r>
    </w:p>
    <w:p>
      <w:pPr>
        <w:spacing w:after="160" w:before="0" w:line="276"/>
        <w:jc w:val="both"/>
      </w:pPr>
      <w:r>
        <w:rPr>
          <w:rFonts w:ascii="Calibri" w:cs="Calibri" w:eastAsia="Calibri" w:hAnsi="Calibri"/>
          <w:sz w:val="22"/>
          <w:szCs w:val="22"/>
        </w:rPr>
        <w:t xml:space="preserve">Engagements are weighted by Tier: a Tier 1 Engagement counts as 1 weighted point, a Tier 2 Engagement as 2 weighted points and a Tier 3 Engagement as 4 weighted points. A Channel Manager may hold at most 12 weighted points and at most 4 Tier 3 Engagements, whichever limit is reached first. Clause 9.7 applies.</w:t>
      </w:r>
    </w:p>
    <w:p>
      <w:pPr>
        <w:pStyle w:val="Heading2"/>
        <w:keepNext/>
        <w:spacing w:after="140" w:before="300"/>
      </w:pPr>
      <w:r>
        <w:rPr>
          <w:rFonts w:ascii="Calibri" w:cs="Calibri" w:eastAsia="Calibri" w:hAnsi="Calibri"/>
          <w:b/>
          <w:bCs/>
          <w:sz w:val="24"/>
          <w:szCs w:val="24"/>
        </w:rPr>
        <w:t xml:space="preserve">3. Relationship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rPr>
          <w:tblHeader/>
        </w:trPr>
        <w:tc>
          <w:tcPr>
            <w:tcW w:type="dxa" w:w="108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Party</w:t>
            </w:r>
          </w:p>
        </w:tc>
        <w:tc>
          <w:tcPr>
            <w:tcW w:type="dxa" w:w="324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Relationship manager</w:t>
            </w:r>
          </w:p>
        </w:tc>
        <w:tc>
          <w:tcPr>
            <w:tcW w:type="dxa" w:w="504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Executive for escalation under clause 26.1</w:t>
            </w:r>
          </w:p>
        </w:tc>
      </w:tr>
      <w:tr>
        <w:trPr>
          <w:tblHeader w:val="false"/>
        </w:trPr>
        <w:tc>
          <w:tcPr>
            <w:tcW w:type="dxa" w:w="1080"/>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c>
          <w:tcPr>
            <w:tcW w:type="dxa" w:w="32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r>
      <w:tr>
        <w:trPr>
          <w:tblHeader w:val="false"/>
        </w:trPr>
        <w:tc>
          <w:tcPr>
            <w:tcW w:type="dxa" w:w="1080"/>
            <w:tcMar>
              <w:top w:type="dxa" w:w="60"/>
              <w:left w:type="dxa" w:w="108"/>
              <w:bottom w:type="dxa" w:w="60"/>
              <w:right w:type="dxa" w:w="108"/>
            </w:tcMar>
          </w:tcPr>
          <w:p>
            <w:pPr>
              <w:spacing w:after="0" w:before="0" w:line="240"/>
            </w:pPr>
            <w:r>
              <w:rPr>
                <w:rFonts w:ascii="Calibri" w:cs="Calibri" w:eastAsia="Calibri" w:hAnsi="Calibri"/>
                <w:sz w:val="19"/>
                <w:szCs w:val="19"/>
              </w:rPr>
              <w:t xml:space="preserve">OBVG</w:t>
            </w:r>
          </w:p>
        </w:tc>
        <w:tc>
          <w:tcPr>
            <w:tcW w:type="dxa" w:w="32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r>
    </w:tbl>
    <w:p>
      <w:pPr>
        <w:spacing w:after="160"/>
      </w:pPr>
      <w:r>
        <w:t xml:space="preserve"/>
      </w:r>
    </w:p>
    <w:p>
      <w:pPr>
        <w:pStyle w:val="Heading1"/>
        <w:pageBreakBefore/>
        <w:spacing w:after="200" w:before="240"/>
        <w:jc w:val="left"/>
      </w:pPr>
      <w:r>
        <w:rPr>
          <w:rFonts w:ascii="Calibri" w:cs="Calibri" w:eastAsia="Calibri" w:hAnsi="Calibri"/>
          <w:b/>
          <w:bCs/>
          <w:sz w:val="28"/>
          <w:szCs w:val="28"/>
        </w:rPr>
        <w:t xml:space="preserve">Schedule 8 - Dependencies, Assumptions and Defaults</w:t>
      </w:r>
    </w:p>
    <w:p>
      <w:pPr>
        <w:pStyle w:val="Heading2"/>
        <w:keepNext/>
        <w:spacing w:after="140" w:before="300"/>
      </w:pPr>
      <w:r>
        <w:rPr>
          <w:rFonts w:ascii="Calibri" w:cs="Calibri" w:eastAsia="Calibri" w:hAnsi="Calibri"/>
          <w:b/>
          <w:bCs/>
          <w:sz w:val="24"/>
          <w:szCs w:val="24"/>
        </w:rPr>
        <w:t xml:space="preserve">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2"/>
        <w:gridCol w:w="219"/>
        <w:gridCol w:w="2796"/>
        <w:gridCol w:w="3063"/>
      </w:tblGrid>
      <w:tr>
        <w:trPr>
          <w:tblHeader/>
        </w:trPr>
        <w:tc>
          <w:tcPr>
            <w:tcW w:type="dxa" w:w="328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21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Owner</w:t>
            </w:r>
          </w:p>
        </w:tc>
        <w:tc>
          <w:tcPr>
            <w:tcW w:type="dxa" w:w="279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Longstop</w:t>
            </w:r>
          </w:p>
        </w:tc>
        <w:tc>
          <w:tcPr>
            <w:tcW w:type="dxa" w:w="306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Consequence if not resolved</w:t>
            </w:r>
          </w:p>
        </w:tc>
      </w:tr>
      <w:tr>
        <w:trPr>
          <w:tblHeader w:val="false"/>
        </w:trPr>
        <w:tc>
          <w:tcPr>
            <w:tcW w:type="dxa" w:w="3282"/>
            <w:tcMar>
              <w:top w:type="dxa" w:w="60"/>
              <w:left w:type="dxa" w:w="108"/>
              <w:bottom w:type="dxa" w:w="60"/>
              <w:right w:type="dxa" w:w="108"/>
            </w:tcMar>
          </w:tcPr>
          <w:p>
            <w:pPr>
              <w:spacing w:after="0" w:before="0" w:line="240"/>
            </w:pPr>
            <w:r>
              <w:rPr>
                <w:rFonts w:ascii="Calibri" w:cs="Calibri" w:eastAsia="Calibri" w:hAnsi="Calibri"/>
                <w:sz w:val="19"/>
                <w:szCs w:val="19"/>
              </w:rPr>
              <w:t xml:space="preserve">Whether, and by what mechanism, a third-party reseller can issue offers against Automatum's listing while Automatum is seller of record</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c>
          <w:tcPr>
            <w:tcW w:type="dxa" w:w="2796"/>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longstop date, the earlier of 45 days from the Effective Date and first publication of the Tier matrix]</w:t>
            </w:r>
          </w:p>
        </w:tc>
        <w:tc>
          <w:tcPr>
            <w:tcW w:type="dxa" w:w="3063"/>
            <w:tcMar>
              <w:top w:type="dxa" w:w="60"/>
              <w:left w:type="dxa" w:w="108"/>
              <w:bottom w:type="dxa" w:w="60"/>
              <w:right w:type="dxa" w:w="108"/>
            </w:tcMar>
          </w:tcPr>
          <w:p>
            <w:pPr>
              <w:spacing w:after="0" w:before="0" w:line="240"/>
            </w:pPr>
            <w:r>
              <w:rPr>
                <w:rFonts w:ascii="Calibri" w:cs="Calibri" w:eastAsia="Calibri" w:hAnsi="Calibri"/>
                <w:sz w:val="19"/>
                <w:szCs w:val="19"/>
              </w:rPr>
              <w:t xml:space="preserve">The fallback metric in Schedule 4 paragraph 4.2 applies automatically under clause 14.2. Neither Party is in breach or liable.</w:t>
            </w:r>
          </w:p>
        </w:tc>
      </w:tr>
      <w:tr>
        <w:trPr>
          <w:tblHeader w:val="false"/>
        </w:trPr>
        <w:tc>
          <w:tcPr>
            <w:tcW w:type="dxa" w:w="3282"/>
            <w:tcMar>
              <w:top w:type="dxa" w:w="60"/>
              <w:left w:type="dxa" w:w="108"/>
              <w:bottom w:type="dxa" w:w="60"/>
              <w:right w:type="dxa" w:w="108"/>
            </w:tcMar>
          </w:tcPr>
          <w:p>
            <w:pPr>
              <w:spacing w:after="0" w:before="0" w:line="240"/>
            </w:pPr>
            <w:r>
              <w:rPr>
                <w:rFonts w:ascii="Calibri" w:cs="Calibri" w:eastAsia="Calibri" w:hAnsi="Calibri"/>
                <w:sz w:val="19"/>
                <w:szCs w:val="19"/>
              </w:rPr>
              <w:t xml:space="preserve">PSR vendor continuity undertaking under clause 10.7</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OBVG</w:t>
            </w:r>
          </w:p>
        </w:tc>
        <w:tc>
          <w:tcPr>
            <w:tcW w:type="dxa" w:w="2796"/>
            <w:tcMar>
              <w:top w:type="dxa" w:w="60"/>
              <w:left w:type="dxa" w:w="108"/>
              <w:bottom w:type="dxa" w:w="60"/>
              <w:right w:type="dxa" w:w="108"/>
            </w:tcMar>
          </w:tcPr>
          <w:p>
            <w:pPr>
              <w:spacing w:after="0" w:before="0" w:line="240"/>
            </w:pPr>
            <w:r>
              <w:rPr>
                <w:rFonts w:ascii="Calibri" w:cs="Calibri" w:eastAsia="Calibri" w:hAnsi="Calibri"/>
                <w:sz w:val="19"/>
                <w:szCs w:val="19"/>
              </w:rPr>
              <w:t xml:space="preserve">Before the first Engagement Order</w:t>
            </w:r>
          </w:p>
        </w:tc>
        <w:tc>
          <w:tcPr>
            <w:tcW w:type="dxa" w:w="3063"/>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 may proceed, decline, or require an alternative PSR.</w:t>
            </w:r>
          </w:p>
        </w:tc>
      </w:tr>
      <w:tr>
        <w:trPr>
          <w:tblHeader w:val="false"/>
        </w:trPr>
        <w:tc>
          <w:tcPr>
            <w:tcW w:type="dxa" w:w="3282"/>
            <w:tcMar>
              <w:top w:type="dxa" w:w="60"/>
              <w:left w:type="dxa" w:w="108"/>
              <w:bottom w:type="dxa" w:w="60"/>
              <w:right w:type="dxa" w:w="108"/>
            </w:tcMar>
          </w:tcPr>
          <w:p>
            <w:pPr>
              <w:spacing w:after="0" w:before="0" w:line="240"/>
            </w:pPr>
            <w:r>
              <w:rPr>
                <w:rFonts w:ascii="Calibri" w:cs="Calibri" w:eastAsia="Calibri" w:hAnsi="Calibri"/>
                <w:sz w:val="19"/>
                <w:szCs w:val="19"/>
              </w:rPr>
              <w:t xml:space="preserve">Capacity test of Schedule 4 and the Tier 3 roster</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Joint</w:t>
            </w:r>
          </w:p>
        </w:tc>
        <w:tc>
          <w:tcPr>
            <w:tcW w:type="dxa" w:w="2796"/>
            <w:tcMar>
              <w:top w:type="dxa" w:w="60"/>
              <w:left w:type="dxa" w:w="108"/>
              <w:bottom w:type="dxa" w:w="60"/>
              <w:right w:type="dxa" w:w="108"/>
            </w:tcMar>
          </w:tcPr>
          <w:p>
            <w:pPr>
              <w:spacing w:after="0" w:before="0" w:line="240"/>
            </w:pPr>
            <w:r>
              <w:rPr>
                <w:rFonts w:ascii="Calibri" w:cs="Calibri" w:eastAsia="Calibri" w:hAnsi="Calibri"/>
                <w:sz w:val="19"/>
                <w:szCs w:val="19"/>
              </w:rPr>
              <w:t xml:space="preserve">Before publication of the Tier matrix</w:t>
            </w:r>
          </w:p>
        </w:tc>
        <w:tc>
          <w:tcPr>
            <w:tcW w:type="dxa" w:w="3063"/>
            <w:tcMar>
              <w:top w:type="dxa" w:w="60"/>
              <w:left w:type="dxa" w:w="108"/>
              <w:bottom w:type="dxa" w:w="60"/>
              <w:right w:type="dxa" w:w="108"/>
            </w:tcMar>
          </w:tcPr>
          <w:p>
            <w:pPr>
              <w:spacing w:after="0" w:before="0" w:line="240"/>
            </w:pPr>
            <w:r>
              <w:rPr>
                <w:rFonts w:ascii="Calibri" w:cs="Calibri" w:eastAsia="Calibri" w:hAnsi="Calibri"/>
                <w:sz w:val="19"/>
                <w:szCs w:val="19"/>
              </w:rPr>
              <w:t xml:space="preserve">No Tier matrix is published and no Engagement Order is executed at an untested Tier, and clause 14.4 applies.</w:t>
            </w:r>
          </w:p>
        </w:tc>
      </w:tr>
      <w:tr>
        <w:trPr>
          <w:tblHeader w:val="false"/>
        </w:trPr>
        <w:tc>
          <w:tcPr>
            <w:tcW w:type="dxa" w:w="3282"/>
            <w:tcMar>
              <w:top w:type="dxa" w:w="60"/>
              <w:left w:type="dxa" w:w="108"/>
              <w:bottom w:type="dxa" w:w="60"/>
              <w:right w:type="dxa" w:w="108"/>
            </w:tcMar>
          </w:tcPr>
          <w:p>
            <w:pPr>
              <w:spacing w:after="0" w:before="0" w:line="240"/>
            </w:pPr>
            <w:r>
              <w:rPr>
                <w:rFonts w:ascii="Calibri" w:cs="Calibri" w:eastAsia="Calibri" w:hAnsi="Calibri"/>
                <w:sz w:val="19"/>
                <w:szCs w:val="19"/>
              </w:rPr>
              <w:t xml:space="preserve">Insurance certificates under clause 22</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OBVG</w:t>
            </w:r>
          </w:p>
        </w:tc>
        <w:tc>
          <w:tcPr>
            <w:tcW w:type="dxa" w:w="2796"/>
            <w:tcMar>
              <w:top w:type="dxa" w:w="60"/>
              <w:left w:type="dxa" w:w="108"/>
              <w:bottom w:type="dxa" w:w="60"/>
              <w:right w:type="dxa" w:w="108"/>
            </w:tcMar>
          </w:tcPr>
          <w:p>
            <w:pPr>
              <w:spacing w:after="0" w:before="0" w:line="240"/>
            </w:pPr>
            <w:r>
              <w:rPr>
                <w:rFonts w:ascii="Calibri" w:cs="Calibri" w:eastAsia="Calibri" w:hAnsi="Calibri"/>
                <w:sz w:val="19"/>
                <w:szCs w:val="19"/>
              </w:rPr>
              <w:t xml:space="preserve">Before the first Engagement Order</w:t>
            </w:r>
          </w:p>
        </w:tc>
        <w:tc>
          <w:tcPr>
            <w:tcW w:type="dxa" w:w="3063"/>
            <w:tcMar>
              <w:top w:type="dxa" w:w="60"/>
              <w:left w:type="dxa" w:w="108"/>
              <w:bottom w:type="dxa" w:w="60"/>
              <w:right w:type="dxa" w:w="108"/>
            </w:tcMar>
          </w:tcPr>
          <w:p>
            <w:pPr>
              <w:spacing w:after="0" w:before="0" w:line="240"/>
            </w:pPr>
            <w:r>
              <w:rPr>
                <w:rFonts w:ascii="Calibri" w:cs="Calibri" w:eastAsia="Calibri" w:hAnsi="Calibri"/>
                <w:sz w:val="19"/>
                <w:szCs w:val="19"/>
              </w:rPr>
              <w:t xml:space="preserve">No Engagement Order is executed.</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2. Assumptions</w:t>
      </w:r>
    </w:p>
    <w:p>
      <w:pPr>
        <w:spacing w:after="160" w:before="0" w:line="276"/>
        <w:jc w:val="both"/>
      </w:pPr>
      <w:r>
        <w:rPr>
          <w:rFonts w:ascii="Calibri" w:cs="Calibri" w:eastAsia="Calibri" w:hAnsi="Calibri"/>
          <w:b/>
          <w:bCs/>
          <w:sz w:val="22"/>
          <w:szCs w:val="22"/>
        </w:rPr>
        <w:t xml:space="preserve">2.1 Direct invoicing.</w:t>
      </w:r>
      <w:r>
        <w:rPr>
          <w:rFonts w:ascii="Calibri" w:cs="Calibri" w:eastAsia="Calibri" w:hAnsi="Calibri"/>
          <w:sz w:val="22"/>
          <w:szCs w:val="22"/>
        </w:rPr>
        <w:t xml:space="preserve"> Schedule 2 assumes that Client Fees are invoiced by Automatum to the Client directly, are not transacted through AWS Marketplace, and are not reduced by any listing fee. If Client Fees are later transacted through AWS Marketplace, the allocation of any listing fee is agreed under clause 11.9.</w:t>
      </w:r>
    </w:p>
    <w:p>
      <w:pPr>
        <w:spacing w:after="160" w:before="0" w:line="276"/>
        <w:jc w:val="both"/>
      </w:pPr>
      <w:r>
        <w:rPr>
          <w:rFonts w:ascii="Calibri" w:cs="Calibri" w:eastAsia="Calibri" w:hAnsi="Calibri"/>
          <w:b/>
          <w:bCs/>
          <w:sz w:val="22"/>
          <w:szCs w:val="22"/>
        </w:rPr>
        <w:t xml:space="preserve">2.2 Enterprise tier commitment.</w:t>
      </w:r>
      <w:r>
        <w:rPr>
          <w:rFonts w:ascii="Calibri" w:cs="Calibri" w:eastAsia="Calibri" w:hAnsi="Calibri"/>
          <w:sz w:val="22"/>
          <w:szCs w:val="22"/>
        </w:rPr>
        <w:t xml:space="preserve"> Automatum's $9,999 is assumed to be committed annually under the Client Agreement. Platform Revenue accrues under clause 11.2, and Automatum bears any shortfall between the Platform Revenue accrued on an Engagement that ends before the end of an Engagement Year and the amount Automatum has committed for that year.</w:t>
      </w:r>
    </w:p>
    <w:p>
      <w:pPr>
        <w:spacing w:after="160" w:before="0" w:line="276"/>
        <w:jc w:val="both"/>
      </w:pPr>
      <w:r>
        <w:rPr>
          <w:rFonts w:ascii="Calibri" w:cs="Calibri" w:eastAsia="Calibri" w:hAnsi="Calibri"/>
          <w:b/>
          <w:bCs/>
          <w:sz w:val="22"/>
          <w:szCs w:val="22"/>
        </w:rPr>
        <w:t xml:space="preserve">2.3 Cost of performance.</w:t>
      </w:r>
      <w:r>
        <w:rPr>
          <w:rFonts w:ascii="Calibri" w:cs="Calibri" w:eastAsia="Calibri" w:hAnsi="Calibri"/>
          <w:sz w:val="22"/>
          <w:szCs w:val="22"/>
        </w:rPr>
        <w:t xml:space="preserve"> Neither Party warrants that the Client Fees at any Tier are sufficient to cover its own cost of performance, and clause 14.1 applies if they are not.</w:t>
      </w:r>
    </w:p>
    <w:p>
      <w:pPr>
        <w:spacing w:after="160" w:before="0" w:line="276"/>
        <w:jc w:val="both"/>
      </w:pPr>
      <w:r>
        <w:rPr>
          <w:rFonts w:ascii="Calibri" w:cs="Calibri" w:eastAsia="Calibri" w:hAnsi="Calibri"/>
          <w:b/>
          <w:bCs/>
          <w:sz w:val="22"/>
          <w:szCs w:val="22"/>
        </w:rPr>
        <w:t xml:space="preserve">2.4 Partner AWS prerequisites.</w:t>
      </w:r>
      <w:r>
        <w:rPr>
          <w:rFonts w:ascii="Calibri" w:cs="Calibri" w:eastAsia="Calibri" w:hAnsi="Calibri"/>
          <w:sz w:val="22"/>
          <w:szCs w:val="22"/>
        </w:rPr>
        <w:t xml:space="preserve"> Recruited Partner timelines depend on the partner completing AWS registration, tax, banking and service-linked role requirements, outside the control of either Party and the Registered Client. Clause 8.3 and Schedule 1 paragraph 4 govern.</w:t>
      </w:r>
    </w:p>
    <w:p>
      <w:pPr>
        <w:pStyle w:val="Heading2"/>
        <w:keepNext/>
        <w:spacing w:after="140" w:before="300"/>
      </w:pPr>
      <w:r>
        <w:rPr>
          <w:rFonts w:ascii="Calibri" w:cs="Calibri" w:eastAsia="Calibri" w:hAnsi="Calibri"/>
          <w:b/>
          <w:bCs/>
          <w:sz w:val="24"/>
          <w:szCs w:val="24"/>
        </w:rPr>
        <w:t xml:space="preserve">3.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98"/>
        <w:gridCol w:w="3862"/>
      </w:tblGrid>
      <w:tr>
        <w:trPr>
          <w:tblHeader/>
        </w:trPr>
        <w:tc>
          <w:tcPr>
            <w:tcW w:type="dxa" w:w="5498"/>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Particular</w:t>
            </w:r>
          </w:p>
        </w:tc>
        <w:tc>
          <w:tcPr>
            <w:tcW w:type="dxa" w:w="386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Value</w:t>
            </w:r>
          </w:p>
        </w:tc>
      </w:tr>
      <w:tr>
        <w:trPr>
          <w:tblHeader w:val="false"/>
        </w:trPr>
        <w:tc>
          <w:tcPr>
            <w:tcW w:type="dxa" w:w="5498"/>
            <w:tcMar>
              <w:top w:type="dxa" w:w="60"/>
              <w:left w:type="dxa" w:w="108"/>
              <w:bottom w:type="dxa" w:w="60"/>
              <w:right w:type="dxa" w:w="108"/>
            </w:tcMar>
          </w:tcPr>
          <w:p>
            <w:pPr>
              <w:spacing w:after="0" w:before="0" w:line="240"/>
            </w:pPr>
            <w:r>
              <w:rPr>
                <w:rFonts w:ascii="Calibri" w:cs="Calibri" w:eastAsia="Calibri" w:hAnsi="Calibri"/>
                <w:sz w:val="19"/>
                <w:szCs w:val="19"/>
              </w:rPr>
              <w:t xml:space="preserve">Address for notices to Automatum under clause 26.4</w:t>
            </w:r>
          </w:p>
        </w:tc>
        <w:tc>
          <w:tcPr>
            <w:tcW w:type="dxa" w:w="3862"/>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Automatum notice address]</w:t>
            </w:r>
          </w:p>
        </w:tc>
      </w:tr>
      <w:tr>
        <w:trPr>
          <w:tblHeader w:val="false"/>
        </w:trPr>
        <w:tc>
          <w:tcPr>
            <w:tcW w:type="dxa" w:w="5498"/>
            <w:tcMar>
              <w:top w:type="dxa" w:w="60"/>
              <w:left w:type="dxa" w:w="108"/>
              <w:bottom w:type="dxa" w:w="60"/>
              <w:right w:type="dxa" w:w="108"/>
            </w:tcMar>
          </w:tcPr>
          <w:p>
            <w:pPr>
              <w:spacing w:after="0" w:before="0" w:line="240"/>
            </w:pPr>
            <w:r>
              <w:rPr>
                <w:rFonts w:ascii="Calibri" w:cs="Calibri" w:eastAsia="Calibri" w:hAnsi="Calibri"/>
                <w:sz w:val="19"/>
                <w:szCs w:val="19"/>
              </w:rPr>
              <w:t xml:space="preserve">Address for notices to OBVG under clause 26.4</w:t>
            </w:r>
          </w:p>
        </w:tc>
        <w:tc>
          <w:tcPr>
            <w:tcW w:type="dxa" w:w="3862"/>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OBVG notice address]</w:t>
            </w:r>
          </w:p>
        </w:tc>
      </w:tr>
      <w:tr>
        <w:trPr>
          <w:tblHeader w:val="false"/>
        </w:trPr>
        <w:tc>
          <w:tcPr>
            <w:tcW w:type="dxa" w:w="5498"/>
            <w:tcMar>
              <w:top w:type="dxa" w:w="60"/>
              <w:left w:type="dxa" w:w="108"/>
              <w:bottom w:type="dxa" w:w="60"/>
              <w:right w:type="dxa" w:w="108"/>
            </w:tcMar>
          </w:tcPr>
          <w:p>
            <w:pPr>
              <w:spacing w:after="0" w:before="0" w:line="240"/>
            </w:pPr>
            <w:r>
              <w:rPr>
                <w:rFonts w:ascii="Calibri" w:cs="Calibri" w:eastAsia="Calibri" w:hAnsi="Calibri"/>
                <w:sz w:val="19"/>
                <w:szCs w:val="19"/>
              </w:rPr>
              <w:t xml:space="preserve">AWS Marketplace listing identifier and seller of record entity</w:t>
            </w:r>
          </w:p>
        </w:tc>
        <w:tc>
          <w:tcPr>
            <w:tcW w:type="dxa" w:w="3862"/>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listing identifier and seller of record entity]</w:t>
            </w:r>
          </w:p>
        </w:tc>
      </w:tr>
      <w:tr>
        <w:trPr>
          <w:tblHeader w:val="false"/>
        </w:trPr>
        <w:tc>
          <w:tcPr>
            <w:tcW w:type="dxa" w:w="5498"/>
            <w:tcMar>
              <w:top w:type="dxa" w:w="60"/>
              <w:left w:type="dxa" w:w="108"/>
              <w:bottom w:type="dxa" w:w="60"/>
              <w:right w:type="dxa" w:w="108"/>
            </w:tcMar>
          </w:tcPr>
          <w:p>
            <w:pPr>
              <w:spacing w:after="0" w:before="0" w:line="240"/>
            </w:pPr>
            <w:r>
              <w:rPr>
                <w:rFonts w:ascii="Calibri" w:cs="Calibri" w:eastAsia="Calibri" w:hAnsi="Calibri"/>
                <w:sz w:val="19"/>
                <w:szCs w:val="19"/>
              </w:rPr>
              <w:t xml:space="preserve">APN account under which OBVG files partner-sourced opportunities under clause 5.1(j)</w:t>
            </w:r>
          </w:p>
        </w:tc>
        <w:tc>
          <w:tcPr>
            <w:tcW w:type="dxa" w:w="3862"/>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APN account]</w:t>
            </w:r>
          </w:p>
        </w:tc>
      </w:tr>
      <w:tr>
        <w:trPr>
          <w:tblHeader w:val="false"/>
        </w:trPr>
        <w:tc>
          <w:tcPr>
            <w:tcW w:type="dxa" w:w="5498"/>
            <w:tcMar>
              <w:top w:type="dxa" w:w="60"/>
              <w:left w:type="dxa" w:w="108"/>
              <w:bottom w:type="dxa" w:w="60"/>
              <w:right w:type="dxa" w:w="108"/>
            </w:tcMar>
          </w:tcPr>
          <w:p>
            <w:pPr>
              <w:spacing w:after="0" w:before="0" w:line="240"/>
            </w:pPr>
            <w:r>
              <w:rPr>
                <w:rFonts w:ascii="Calibri" w:cs="Calibri" w:eastAsia="Calibri" w:hAnsi="Calibri"/>
                <w:sz w:val="19"/>
                <w:szCs w:val="19"/>
              </w:rPr>
              <w:t xml:space="preserve">Solution identifier under clause 13.4</w:t>
            </w:r>
          </w:p>
        </w:tc>
        <w:tc>
          <w:tcPr>
            <w:tcW w:type="dxa" w:w="3862"/>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solution identifier]</w:t>
            </w:r>
          </w:p>
        </w:tc>
      </w:tr>
      <w:tr>
        <w:trPr>
          <w:tblHeader w:val="false"/>
        </w:trPr>
        <w:tc>
          <w:tcPr>
            <w:tcW w:type="dxa" w:w="5498"/>
            <w:tcMar>
              <w:top w:type="dxa" w:w="60"/>
              <w:left w:type="dxa" w:w="108"/>
              <w:bottom w:type="dxa" w:w="60"/>
              <w:right w:type="dxa" w:w="108"/>
            </w:tcMar>
          </w:tcPr>
          <w:p>
            <w:pPr>
              <w:spacing w:after="0" w:before="0" w:line="240"/>
            </w:pPr>
            <w:r>
              <w:rPr>
                <w:rFonts w:ascii="Calibri" w:cs="Calibri" w:eastAsia="Calibri" w:hAnsi="Calibri"/>
                <w:sz w:val="19"/>
                <w:szCs w:val="19"/>
              </w:rPr>
              <w:t xml:space="preserve">Limit of each insurance cover required by clause 22</w:t>
            </w:r>
          </w:p>
        </w:tc>
        <w:tc>
          <w:tcPr>
            <w:tcW w:type="dxa" w:w="3862"/>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limit for each cover]</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4. Figures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71"/>
        <w:gridCol w:w="6189"/>
      </w:tblGrid>
      <w:tr>
        <w:trPr>
          <w:tblHeader/>
        </w:trPr>
        <w:tc>
          <w:tcPr>
            <w:tcW w:type="dxa" w:w="3171"/>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618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Value applying until confirmed</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PSR seats per Tier</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Seats sufficient for the named personnel, the Client's nominated administrators and every Recruited Partner on the roster</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Named role committed hours per Tier</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Hours sufficient to meet Schedule 4 for the Tier, with clause 9.7 continuing to bind</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Tier 3 Deal Desk Owner coverage window</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Business Hours</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Onboarding Throughput Rate and concurrent onboardings (Tier 3)</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4 onboardings per month and 6 concurrent</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Tier 3 Baseline Assumptions</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30 active partners and 4 onboardings per month</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PSR partner record threshold for cost pass-through</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The threshold in OBVG's license; if none, no pass-through applies</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Unlimited partner license warranty (Tier 3)</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Not warranted; the pass-through in Schedule 1 paragraph 3 applies</w:t>
            </w:r>
          </w:p>
        </w:tc>
      </w:tr>
    </w:tbl>
    <w:p>
      <w:pPr>
        <w:spacing w:after="160"/>
      </w:pPr>
      <w:r>
        <w:t xml:space="preserve"/>
      </w:r>
    </w:p>
    <w:p>
      <w:pPr>
        <w:pStyle w:val="Heading1"/>
        <w:pageBreakBefore/>
        <w:spacing w:after="200" w:before="240"/>
        <w:jc w:val="left"/>
      </w:pPr>
      <w:r>
        <w:rPr>
          <w:rFonts w:ascii="Calibri" w:cs="Calibri" w:eastAsia="Calibri" w:hAnsi="Calibri"/>
          <w:b/>
          <w:bCs/>
          <w:sz w:val="28"/>
          <w:szCs w:val="28"/>
        </w:rPr>
        <w:t xml:space="preserve">Schedule 9 - Execution</w:t>
      </w:r>
    </w:p>
    <w:p>
      <w:pPr>
        <w:spacing w:after="160" w:before="0" w:line="276"/>
        <w:jc w:val="both"/>
      </w:pPr>
      <w:r>
        <w:rPr>
          <w:rFonts w:ascii="Calibri" w:cs="Calibri" w:eastAsia="Calibri" w:hAnsi="Calibri"/>
          <w:sz w:val="22"/>
          <w:szCs w:val="22"/>
        </w:rPr>
        <w:t xml:space="preserve">The Parties have executed this Agreement as of the Effective Date.</w:t>
      </w:r>
    </w:p>
    <w:p>
      <w:pPr>
        <w:spacing w:after="120"/>
      </w:pPr>
      <w:r>
        <w:t xml:space="preserve"/>
      </w:r>
    </w:p>
    <w:p>
      <w:pPr>
        <w:spacing w:after="160" w:before="0" w:line="276"/>
        <w:jc w:val="both"/>
      </w:pPr>
      <w:r>
        <w:rPr>
          <w:rFonts w:ascii="Calibri" w:cs="Calibri" w:eastAsia="Calibri" w:hAnsi="Calibri"/>
          <w:b/>
          <w:bCs/>
          <w:sz w:val="22"/>
          <w:szCs w:val="22"/>
        </w:rPr>
        <w:t xml:space="preserve">For and on behalf of [to supply: Automatum legal entity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7"/>
        <w:gridCol w:w="7083"/>
      </w:tblGrid>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Signature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Name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name]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Title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title]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Date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p>
      <w:pPr>
        <w:spacing w:after="120"/>
      </w:pPr>
      <w:r>
        <w:t xml:space="preserve"/>
      </w:r>
    </w:p>
    <w:p>
      <w:pPr>
        <w:spacing w:after="160" w:before="0" w:line="276"/>
        <w:jc w:val="both"/>
      </w:pPr>
      <w:r>
        <w:rPr>
          <w:rFonts w:ascii="Calibri" w:cs="Calibri" w:eastAsia="Calibri" w:hAnsi="Calibri"/>
          <w:b/>
          <w:bCs/>
          <w:sz w:val="22"/>
          <w:szCs w:val="22"/>
        </w:rPr>
        <w:t xml:space="preserve">For and on behalf of [to supply: Only Best Venture Group legal entity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7"/>
        <w:gridCol w:w="7083"/>
      </w:tblGrid>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Signature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Name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name]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Title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title]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Date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sectPr>
      <w:headerReference w:type="default" r:id="rId7"/>
      <w:footerReference w:type="default" r:id="rId8"/>
      <w:pgSz w:w="12240" w:h="15840" w:orient="portrait"/>
      <w:pgMar w:top="1700" w:right="1440" w:bottom="1440" w:left="1440" w:header="6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80"/>
      <w:jc w:val="left"/>
    </w:pPr>
    <w:r>
      <w:drawing>
        <wp:inline distT="0" distB="0" distL="0" distR="0">
          <wp:extent cx="5905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e395edf862900d67762237981df29cfd736ed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Label Delivery Agreement - Managed Partner Development</dc:title>
  <dc:creator>Automatum</dc:creator>
  <dc:description>Automatum x Only Best Venture Group white label delivery agreement</dc:description>
  <cp:lastModifiedBy>Un-named</cp:lastModifiedBy>
  <cp:revision>1</cp:revision>
  <dcterms:created xsi:type="dcterms:W3CDTF">2026-09-21T07:36:14.590Z</dcterms:created>
  <dcterms:modified xsi:type="dcterms:W3CDTF">2026-09-21T07:36:14.602Z</dcterms:modified>
</cp:coreProperties>
</file>

<file path=docProps/custom.xml><?xml version="1.0" encoding="utf-8"?>
<Properties xmlns="http://schemas.openxmlformats.org/officeDocument/2006/custom-properties" xmlns:vt="http://schemas.openxmlformats.org/officeDocument/2006/docPropsVTypes"/>
</file>