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Venture Group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OBVG principal address] ("</w:t>
      </w:r>
      <w:r>
        <w:rPr>
          <w:rFonts w:ascii="Calibri" w:cs="Calibri" w:eastAsia="Calibri" w:hAnsi="Calibri"/>
          <w:b/>
          <w:bCs/>
          <w:sz w:val="22"/>
          <w:szCs w:val="22"/>
        </w:rPr>
        <w:t xml:space="preserve">OBVG</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OBVG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Managed Partner Development is a service developed and owned by OBVG and comprised in the OBVG Materials, under which a software vendor with a live AWS Marketplace listing engages a single provider to build and run its reseller channel on AWS. Automatum offers it to its clients under the Automatum Brand on the terms of this Agreement.</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is the sole counterparty to each client. OBVG performs the channel function as Automatum's subcontractor under Automatum's brand and is not presented to the client as a separate provider.</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regardless of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OBVG.</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OBVG-Sourced,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OBVG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OBVG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Materials</w:t>
      </w:r>
      <w:r>
        <w:rPr>
          <w:rFonts w:ascii="Calibri" w:cs="Calibri" w:eastAsia="Calibri" w:hAnsi="Calibri"/>
          <w:sz w:val="22"/>
          <w:szCs w:val="22"/>
        </w:rPr>
        <w:t xml:space="preserve">" means the methodologies, playbooks, templates, partner agreement and margin schedule forms, curricula, enablement content, processes and know-how OBVG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Service Revenue</w:t>
      </w:r>
      <w:r>
        <w:rPr>
          <w:rFonts w:ascii="Calibri" w:cs="Calibri" w:eastAsia="Calibri" w:hAnsi="Calibri"/>
          <w:sz w:val="22"/>
          <w:szCs w:val="22"/>
        </w:rPr>
        <w:t xml:space="preserve">" means OBVG's share of Service Revenue under clause 11.1.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OBVG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OBVG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allocated between the Parties under clause 11.1.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OBVG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A bracketed item marked "to confirm" within an operative provision has the value stated for it in Schedule 8 paragraph 4 until the Parties confirm a different value in writing. The items in Schedule 8 paragraph 1 are dependencies to which clause 14 applies.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OBVG,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OBVG as a delivery subcontractor to perform the Services for Registered Clients under the Automatum Brand, and OBVG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for each Party. Automatum may perform the Services itself or appoint others for any client, and OBVG may provide the same or similar services to anyone, including another AWS Marketplace seller. This is subject only to clause 15.</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OBVG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OBVG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OBVG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OBVG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OBVG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OBVG may decline a proposed Engagement Order within 5 Business Days, acting reasonably, including for lack of capacity at the proposed Tier, because the proposed Client competes with an existing OBVG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11.1.</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OBVG-Sourced, Automatum-Sourced, or Joint or ACE-Sourced. A Client is OBVG-Sourced or Automatum-Sourced according to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OBVG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OBVG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OBVG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OBVG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OBVG's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ceiling.</w:t>
      </w:r>
      <w:r>
        <w:rPr>
          <w:rFonts w:ascii="Calibri" w:cs="Calibri" w:eastAsia="Calibri" w:hAnsi="Calibri"/>
          <w:sz w:val="22"/>
          <w:szCs w:val="22"/>
        </w:rPr>
        <w:t xml:space="preserve"> The partner numbers in Schedule 1 are the maximum OBVG must recruit and onboard. OBVG does not warrant, and need not procure, that any minimum number of partners is recruited, onboarded, authorized, transacts or becomes an Active Partner, and Automatum will not represent otherwise.</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OBVG is not a party to any partner agreement as principal and will not enter into one in its own name. OBVG administers them as agent under, and only to the extent of, the authority in the Engagement Order.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OBVG's deal desk obligation ends on delivery of the Issuance-Ready Package. Clause 6.3 governs issuance.</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OBVG provides first-line support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OBVG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OBVG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is responsible for the AWS relationship for the listing and the Solution, including for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Client Agreement baseline.</w:t>
      </w:r>
      <w:r>
        <w:rPr>
          <w:rFonts w:ascii="Calibri" w:cs="Calibri" w:eastAsia="Calibri" w:hAnsi="Calibri"/>
          <w:sz w:val="22"/>
          <w:szCs w:val="22"/>
        </w:rPr>
        <w:t xml:space="preserve"> Automatum warrants that no Client Agreement for a Registered Client contains, in respect of services OBVG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OBVG's obligations.</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OBVG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OBVG depends; and any matter in clause 14.3. While a Relief Event continues, OBVG is excused from the affected obligation, the affected service levels do not run, and OBVG Service Revenue continues to accrue. OBVG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license.</w:t>
      </w:r>
      <w:r>
        <w:rPr>
          <w:rFonts w:ascii="Calibri" w:cs="Calibri" w:eastAsia="Calibri" w:hAnsi="Calibri"/>
          <w:sz w:val="22"/>
          <w:szCs w:val="22"/>
        </w:rPr>
        <w:t xml:space="preserve"> Automatum grants OBVG a non-exclusive, non-transferable, royalty-free license for the Term and any transition period under clause 24.3 to use the Automatum Brand solely to perform the Services under Schedule 3 and its obligations under clause 24. OBVG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OBVG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OBVG branding.</w:t>
      </w:r>
      <w:r>
        <w:rPr>
          <w:rFonts w:ascii="Calibri" w:cs="Calibri" w:eastAsia="Calibri" w:hAnsi="Calibri"/>
          <w:sz w:val="22"/>
          <w:szCs w:val="22"/>
        </w:rPr>
        <w:t xml:space="preserve"> OBVG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OBVG will not contact a Registered Client outside the channels and personas in Schedule 3, and will not contact a Registered Client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OBVG may disclose its role where required by law, a regulator, an AWS Program Term, or a Client Agreement Automatum has notified to OBVG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OBVG is the sole employer of its personnel. Automatum does not direct, supervise or control how they perform the Services. OBVG's personnel will not state or imply that they are employed by Automatum and will comply with Schedule 3 in describing their role. Each Party will implement the measures in Schedule 3 relating to employment status.</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OBVG's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OBVG will meet the service levels in Schedule 4, measured as Schedule 4 provides.</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The deal desk and Selling Authorization service levels are measured in two legs, the OBVG leg and the Automatum leg, as Schedule 4 provides. OBVG is responsible only for the OBVG leg, and a failure of the Automatum leg gives rise to no flow-down under clause 8.4. Where root cause analysis does not establish which leg caused the failure,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OBVG's personnel is not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OBVG Service Revenue for that Client, but only where the failure was of the OBVG leg and attributable to OBVG; Automatum actually gave the credit and did not give it ex gratia, as a concession, or in settlement of an unrelated matter without OBVG's prior written consent; Automatum applied every exclusion, cap and excused event available to it; and Automatum notified OBVG of the claim with supporting evidence within 10 Business Days of receiving it and gave OBVG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OBVG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OBVG.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OBVG's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OBVG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OBVG will notify Automatum within 2 Business Days of becoming aware that a named person will cease in the role. The Backup Channel Manager assumes it immediately. OBVG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OBVG's cost. A removal request does not direct OBVG to dismiss or discipline the person, and OBVG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provides otherwise.</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OBVG will not exceed the capacity ratios in Schedule 7 paragraph 2.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OBVG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OBVG warrants that it holds all rights needed to provide and operate the PSR under this Agreement, including to present it under the Automatum Brand and to grant the access and licenses in this clause, and that its own license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OBVG branding visible to the Client or any Recruited Partner, except where the vendor's license makes removal impossible, in which case OBVG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OBVG may process it only to deliver the Services for that Client, and will not use it, identifiable or aggregated, for benchmarking, product development, its own channel business, or any other OBVG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OBVG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OBVG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OBVG will procure and maintain from the PSR vendor a written undertaking in the form of Schedule 5 Part D, under which on OBVG's insolvency, cessation of business, or termination of this Agreement for OBVG's breach, the vendor will contract directly with Automatum or its nominee for the remainder of the affected Engagement Orders plus the transition period, at the same or benchmarked rates, with tenant data intact. This is a condition to OBVG's first Engagement Order. If the vendor will not give it, OBVG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OBVG, a material service failure threatening a Registered Client's service levels, or an AWS compliance event. OBVG will then grant Automatum and any nominee access, credentials and administrative rights to the PSR and a royalty-free license to the OBVG Materials for the remainder of the affected Engagement Orders plus the transition period. Step-in does not relieve OBVG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licenses under clauses 10.7 and 10.8 are licenses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Division of Collected Client Fees.</w:t>
      </w:r>
      <w:r>
        <w:rPr>
          <w:rFonts w:ascii="Calibri" w:cs="Calibri" w:eastAsia="Calibri" w:hAnsi="Calibri"/>
          <w:sz w:val="22"/>
          <w:szCs w:val="22"/>
        </w:rPr>
        <w:t xml:space="preserve"> For each Engagement Year the Collected Client Fees divide into Platform Revenue and Service Revenue. Platform Revenue of $9,999 is allocated to Automatum regardless of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Service Revenue is allocated 100% to OBVG.</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continues to pay the Platform Revenue under its existing subscription, which is unchanged, and the Service Revenue is allocated 75% to OBVG and 25% to Automatum.</w:t>
      </w:r>
    </w:p>
    <w:p>
      <w:pPr>
        <w:spacing w:after="160" w:before="0" w:line="276"/>
        <w:jc w:val="both"/>
      </w:pPr>
      <w:r>
        <w:rPr>
          <w:rFonts w:ascii="Calibri" w:cs="Calibri" w:eastAsia="Calibri" w:hAnsi="Calibri"/>
          <w:sz w:val="22"/>
          <w:szCs w:val="22"/>
        </w:rPr>
        <w:t xml:space="preserve">Client Fees for a Tier do not vary with Client Status. Schedule 2 applies.</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Collected Client Fees in priority to OBVG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OBVG will invoice Automatum monthly in arrears for the OBVG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OBVG's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OBVG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OBVG Service Revenue without OBVG's prior written consent. If it does, OBVG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OBVG may not suspend any client-facing element of the Services for non-payment unless payment is more than 60 days overdue and OBVG has given 15 Business Days' written notice to Automatum. OBVG's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Client Fees.</w:t>
      </w:r>
      <w:r>
        <w:rPr>
          <w:rFonts w:ascii="Calibri" w:cs="Calibri" w:eastAsia="Calibri" w:hAnsi="Calibri"/>
          <w:sz w:val="22"/>
          <w:szCs w:val="22"/>
        </w:rPr>
        <w:t xml:space="preserve"> Automatum will invoice Client Fees directly to each Client and will not transact them through AWS Marketplace. If the Parties later agree to transact Client Fees through AWS Marketplace, the allocation of the resulting listing fee must be agreed under clause 14.5 before that begins, and an AWS Marketplace listing fee is deducted in calculating Collected Client Fees only under that agreed allocation.</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OBVG may audit Automatum's records of Client Fees invoiced and collected for Registered Clients, on 30 days' notice, in business hours, at OBVG's cost. If the audit shows an understatement of OBVG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OBVG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OBVG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and the dispute is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OBVG's compliance once per calendar year on 30 days' notice, in business hours, at Automatum's cost, and more frequently after a Chronic Failure or security incident. Audits will not require disclosure of another OBVG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OBVG files.</w:t>
      </w:r>
    </w:p>
    <w:p>
      <w:pPr>
        <w:spacing w:after="160" w:before="0" w:line="276"/>
        <w:jc w:val="both"/>
      </w:pPr>
      <w:r>
        <w:rPr>
          <w:rFonts w:ascii="Calibri" w:cs="Calibri" w:eastAsia="Calibri" w:hAnsi="Calibri"/>
          <w:b/>
          <w:bCs/>
          <w:sz w:val="22"/>
          <w:szCs w:val="22"/>
        </w:rPr>
        <w:t xml:space="preserve">13.6 AWS program change.</w:t>
      </w:r>
      <w:r>
        <w:rPr>
          <w:rFonts w:ascii="Calibri" w:cs="Calibri" w:eastAsia="Calibri" w:hAnsi="Calibri"/>
          <w:sz w:val="22"/>
          <w:szCs w:val="22"/>
        </w:rPr>
        <w:t xml:space="preserve"> If AWS changes an AWS Program Term, a Marketplace mechanism or a program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Marketplace authorization dependency.</w:t>
      </w:r>
      <w:r>
        <w:rPr>
          <w:rFonts w:ascii="Calibri" w:cs="Calibri" w:eastAsia="Calibri" w:hAnsi="Calibri"/>
          <w:sz w:val="22"/>
          <w:szCs w:val="22"/>
        </w:rPr>
        <w:t xml:space="preserve"> As at the Effective Date, AWS has not confirmed whether, or by what mechanism, a third-party reseller may issue offers against Automatum's listing while Automatum is seller of record. Automatum is responsible for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Neither Party will publish the Tier table to the market, and no Engagement Order may be executed at a Tier, until the capacity test in Schedule 8, covering the service levels in Schedule 4 and the Tier 3 roster in Schedule 1,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OBVG Service Revenue. Neither Party is obliged to agree to any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Scope.</w:t>
      </w:r>
      <w:r>
        <w:rPr>
          <w:rFonts w:ascii="Calibri" w:cs="Calibri" w:eastAsia="Calibri" w:hAnsi="Calibri"/>
          <w:sz w:val="22"/>
          <w:szCs w:val="22"/>
        </w:rPr>
        <w:t xml:space="preserve"> This clause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OBVG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OBVG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OBVG may work with any Recruited Partner on other engagements. During the Term and for 12 months after, OBVG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OBVG Materials outside the license in clause 16.4, or using personnel recruited from OBVG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OBVG breaches clause 15.2 in respect of a Registered Client, OBVG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OBVG retains all rights in the OBVG Materials, including the PSR, and Automatum retains all rights in the Automatum Brand. Nothing in this Agreement transfers ownership of the OBVG Materials or the Automatum Brand.</w:t>
      </w:r>
    </w:p>
    <w:p>
      <w:pPr>
        <w:spacing w:after="160" w:before="0" w:line="276"/>
        <w:jc w:val="both"/>
      </w:pPr>
      <w:r>
        <w:rPr>
          <w:rFonts w:ascii="Calibri" w:cs="Calibri" w:eastAsia="Calibri" w:hAnsi="Calibri"/>
          <w:b/>
          <w:bCs/>
          <w:sz w:val="22"/>
          <w:szCs w:val="22"/>
        </w:rPr>
        <w:t xml:space="preserve">16.2 Service IP.</w:t>
      </w:r>
      <w:r>
        <w:rPr>
          <w:rFonts w:ascii="Calibri" w:cs="Calibri" w:eastAsia="Calibri" w:hAnsi="Calibri"/>
          <w:sz w:val="22"/>
          <w:szCs w:val="22"/>
        </w:rPr>
        <w:t xml:space="preserve"> All intellectual property created in performing the Services vests in OBVG on creation and forms part of the OBVG Materials, including any improvement, refinement, extension or derivative of the OBVG Materials or the PSR and any methodology, playbook, template, curriculum or process developed in the course of an Engagement. No intellectual property is owned jointly under this Agreement. No approval, instruction, specification, requirement, feedback or other contribution by Automatum or a Registered Client gives Automatum or that Client ownership of, or any interest in, the OBVG Materials. Automatum's rights in the OBVG Materials are the licenses expressly granted in this Agreement and no others.</w:t>
      </w:r>
    </w:p>
    <w:p>
      <w:pPr>
        <w:spacing w:after="160" w:before="0" w:line="276"/>
        <w:jc w:val="both"/>
      </w:pPr>
      <w:r>
        <w:rPr>
          <w:rFonts w:ascii="Calibri" w:cs="Calibri" w:eastAsia="Calibri" w:hAnsi="Calibri"/>
          <w:b/>
          <w:bCs/>
          <w:sz w:val="22"/>
          <w:szCs w:val="22"/>
        </w:rPr>
        <w:t xml:space="preserve">16.3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16.4 Client-facing deliverables.</w:t>
      </w:r>
      <w:r>
        <w:rPr>
          <w:rFonts w:ascii="Calibri" w:cs="Calibri" w:eastAsia="Calibri" w:hAnsi="Calibri"/>
          <w:sz w:val="22"/>
          <w:szCs w:val="22"/>
        </w:rPr>
        <w:t xml:space="preserve"> OBVG grants Automatum a perpetual, irrevocable, non-exclusive, worldwide, royalty-free, sublicensable license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license survives termination. It is limited to those deliverables as produced for that Registered Client and gives Automatum no right in the OBVG Materials from which they were produced.</w:t>
      </w:r>
    </w:p>
    <w:p>
      <w:pPr>
        <w:spacing w:after="160" w:before="0" w:line="276"/>
        <w:jc w:val="both"/>
      </w:pPr>
      <w:r>
        <w:rPr>
          <w:rFonts w:ascii="Calibri" w:cs="Calibri" w:eastAsia="Calibri" w:hAnsi="Calibri"/>
          <w:b/>
          <w:bCs/>
          <w:sz w:val="22"/>
          <w:szCs w:val="22"/>
        </w:rPr>
        <w:t xml:space="preserve">16.5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OBVG's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OBVG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OBVG's obligations.</w:t>
      </w:r>
      <w:r>
        <w:rPr>
          <w:rFonts w:ascii="Calibri" w:cs="Calibri" w:eastAsia="Calibri" w:hAnsi="Calibri"/>
          <w:sz w:val="22"/>
          <w:szCs w:val="22"/>
        </w:rPr>
        <w:t xml:space="preserve"> OBVG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OBVG may engage subprocessors only from the list in Schedule 5 Part C or with Automatum's prior written consent, will impose equivalent obligations on them, and remains liable for them. OBVG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OBVG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OBVG.</w:t>
      </w:r>
      <w:r>
        <w:rPr>
          <w:rFonts w:ascii="Calibri" w:cs="Calibri" w:eastAsia="Calibri" w:hAnsi="Calibri"/>
          <w:sz w:val="22"/>
          <w:szCs w:val="22"/>
        </w:rPr>
        <w:t xml:space="preserve"> OBVG warrants that it will perform the Services with reasonable skill and care and to good industry practice; that its personnel are suitably skilled, qualified and experienced; that clause 10.1 is accurate; and that the Services and OBVG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license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OBVG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OBVG.</w:t>
      </w:r>
      <w:r>
        <w:rPr>
          <w:rFonts w:ascii="Calibri" w:cs="Calibri" w:eastAsia="Calibri" w:hAnsi="Calibri"/>
          <w:sz w:val="22"/>
          <w:szCs w:val="22"/>
        </w:rPr>
        <w:t xml:space="preserve"> OBVG will defend Automatum against any third party claim, and indemnify it against Losses finally awarded or agreed in settlement, arising from infringement of intellectual property rights by the Services or OBVG Materials; OBVG's breach of clause 18; its breach of an AWS Program Term; its breach of clause 15; and any claim by OBVG's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OBVG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defense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OBVG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OBVG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OBVG's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OBVG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12-month periods unless either Party gives 90 days' notice before the end of the then-current period. "Term" means the Initial Term with any renewal.</w:t>
      </w:r>
    </w:p>
    <w:p>
      <w:pPr>
        <w:spacing w:after="160" w:before="0" w:line="276"/>
        <w:jc w:val="both"/>
      </w:pPr>
      <w:r>
        <w:rPr>
          <w:rFonts w:ascii="Calibri" w:cs="Calibri" w:eastAsia="Calibri" w:hAnsi="Calibri"/>
          <w:b/>
          <w:bCs/>
          <w:sz w:val="22"/>
          <w:szCs w:val="22"/>
        </w:rPr>
        <w:t xml:space="preserve">23.2 Continuation of Engagement Orders.</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OBVG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the licenses granted under this Agreement.</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7.1, 7.7, 10.3, 10.5, 10.7, 10.8, 10.9, 11 for amounts accrued, 12.4, 15, 16, 17, 18, 20, 21, 22, 23.6, 24, 26 and 27 survive termination, together with any other provision that by its nature is intended to survive termination.</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OBVG will provide transition assistance for 90 days, extendable by Automatum to 180 days on notice given before the initial period ends. It is at OBVG's cost where termination is for OBVG's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license in clause 16.4.</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During the transition period, OBVG continues to perform the Services, the service levels continue to apply, and clause 7 continues to apply so that no Client or Recruited Partner learns of OBVG's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 rule is not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in this Agreement.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16.4 to the extent necessary to retain the client-facing deliverables on which its channel operates.</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12-month engagement under which Automatum builds and runs a reseller channel on AWS for a Registered Client. The deliverables are executed partner agreements and a margin schedule, a live partner portal carrying onboarding, deal registration and commission tracking, recruitment and enablement on a named cadence, a deal desk answering registrations, and a monthly report whose primary metric is the Offer-Issuing Partner count. The Services at each Tier are those in clause 5.1, varied only as set out in this Schedule.</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every two weeks</w:t>
            </w:r>
          </w:p>
        </w:tc>
      </w:tr>
    </w:tbl>
    <w:p>
      <w:pPr>
        <w:spacing w:after="160"/>
      </w:pPr>
      <w:r>
        <w:t xml:space="preserve"/>
      </w:r>
    </w:p>
    <w:p>
      <w:pPr>
        <w:spacing w:after="160" w:before="0" w:line="276"/>
        <w:jc w:val="both"/>
      </w:pPr>
      <w:r>
        <w:rPr>
          <w:rFonts w:ascii="Calibri" w:cs="Calibri" w:eastAsia="Calibri" w:hAnsi="Calibri"/>
          <w:sz w:val="22"/>
          <w:szCs w:val="22"/>
        </w:rPr>
        <w:t xml:space="preserve">The remaining Services in clause 5.1 apply at every Tier. Clause 5.2 governs the partner numbers.</w:t>
      </w:r>
    </w:p>
    <w:p>
      <w:pPr>
        <w:pStyle w:val="Heading2"/>
        <w:keepNext/>
        <w:spacing w:after="140" w:before="300"/>
      </w:pPr>
      <w:r>
        <w:rPr>
          <w:rFonts w:ascii="Calibri" w:cs="Calibri" w:eastAsia="Calibri" w:hAnsi="Calibri"/>
          <w:b/>
          <w:bCs/>
          <w:sz w:val="24"/>
          <w:szCs w:val="24"/>
        </w:rPr>
        <w:t xml:space="preserve">3. Tier 3 roster and onboarding throughput</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OBVG's Tier 3 obligations are as follows:</w:t>
      </w:r>
    </w:p>
    <w:p>
      <w:pPr>
        <w:pStyle w:val="ListParagraph"/>
        <w:numPr>
          <w:ilvl w:val="0"/>
          <w:numId w:val="1"/>
        </w:numPr>
        <w:spacing w:after="80" w:before="40" w:line="276"/>
      </w:pPr>
      <w:r>
        <w:rPr>
          <w:rFonts w:ascii="Calibri" w:cs="Calibri" w:eastAsia="Calibri" w:hAnsi="Calibri"/>
          <w:sz w:val="22"/>
          <w:szCs w:val="22"/>
        </w:rPr>
        <w:t xml:space="preserve">OBVG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OBVG's obligation is capped at Baseline plus fair use and Automatum bears any resulting shortfall in its obligations to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license cost passes through at cost under clause 14.5, unless OBVG has warranted in the Engagement Order that it holds an unlimited-partner license.</w:t>
      </w:r>
    </w:p>
    <w:p>
      <w:pPr>
        <w:pStyle w:val="Heading2"/>
        <w:keepNext/>
        <w:spacing w:after="140" w:before="300"/>
      </w:pPr>
      <w:r>
        <w:rPr>
          <w:rFonts w:ascii="Calibri" w:cs="Calibri" w:eastAsia="Calibri" w:hAnsi="Calibri"/>
          <w:b/>
          <w:bCs/>
          <w:sz w:val="24"/>
          <w:szCs w:val="24"/>
        </w:rPr>
        <w:t xml:space="preserve">4. Partner milestones</w:t>
      </w:r>
    </w:p>
    <w:p>
      <w:pPr>
        <w:spacing w:after="160" w:before="0" w:line="276"/>
        <w:jc w:val="both"/>
      </w:pPr>
      <w:r>
        <w:rPr>
          <w:rFonts w:ascii="Calibri" w:cs="Calibri" w:eastAsia="Calibri" w:hAnsi="Calibri"/>
          <w:sz w:val="22"/>
          <w:szCs w:val="22"/>
        </w:rPr>
        <w:t xml:space="preserve">The program target is that a Recruited Partner achieves its first Transaction by the end of the first quarter following its partner agreement signature date. The target is supported by a best efforts obligation and a reporting duty and is not a warranty. Clause 8.3 applies while a partner is pending AWS registration, tax, banking or service-linked role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Division of Collected Client Fees</w:t>
      </w:r>
    </w:p>
    <w:p>
      <w:pPr>
        <w:spacing w:after="160" w:before="0" w:line="276"/>
        <w:jc w:val="both"/>
      </w:pPr>
      <w:r>
        <w:rPr>
          <w:rFonts w:ascii="Calibri" w:cs="Calibri" w:eastAsia="Calibri" w:hAnsi="Calibri"/>
          <w:sz w:val="22"/>
          <w:szCs w:val="22"/>
        </w:rPr>
        <w:t xml:space="preserve">Platform Revenue is $9,999 per Engagement Year at every Tier and is allocated to Automatum regardless of Client Status,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1796"/>
        <w:gridCol w:w="1513"/>
        <w:gridCol w:w="2175"/>
        <w:gridCol w:w="1324"/>
      </w:tblGrid>
      <w:tr>
        <w:trPr>
          <w:tblHeader/>
        </w:trPr>
        <w:tc>
          <w:tcPr>
            <w:tcW w:type="dxa" w:w="56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9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9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OBVG</w:t>
            </w:r>
          </w:p>
        </w:tc>
        <w:tc>
          <w:tcPr>
            <w:tcW w:type="dxa" w:w="132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OBVG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1671"/>
        <w:gridCol w:w="1114"/>
        <w:gridCol w:w="1671"/>
        <w:gridCol w:w="1560"/>
        <w:gridCol w:w="2675"/>
      </w:tblGrid>
      <w:tr>
        <w:trPr>
          <w:tblHeader/>
        </w:trPr>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(75%)</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56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c>
          <w:tcPr>
            <w:tcW w:type="dxa" w:w="26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pays under its existing subscription plus Automatum's 25% share of Service Revenue.</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 amounts in this paragraph are stated on the basis that Client Fees are collected in full. Where they are not, Platform Revenue and each Party's share of Service Revenue accrue only against Collected Client Fees, and the shortfall is borne in the proportions in this paragraph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Client Fees of $60,000 are collected. Platform Revenue of $9,999 accrues to Automatum at $833.25 per month, and Service Revenue of $50,001 is retained by OBVG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Client Fees of $60,000 are collected and the Client's existing subscription continues separately and outside the Engagement. Service Revenue of $50,001 divides $37,500.75 to OBVG and $12,500.25 to Automatum, and OBVG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bears the difference between the $2,499.75 accrued and the $9,999 it commits annually for its Enterprise tier, under Schedule 8 paragraph 2.2.</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5"/>
        <w:gridCol w:w="6785"/>
      </w:tblGrid>
      <w:tr>
        <w:trPr>
          <w:tblHeader/>
        </w:trPr>
        <w:tc>
          <w:tcPr>
            <w:tcW w:type="dxa" w:w="25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67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OBVG's breach or Chronic Failure</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OBVG forfeits its share of any early termination charge and funds transition assistance under clause 24.1.</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termination by Automatum for convenience</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OBVG is paid the greater of 3 months' OBVG Service Revenue and the OBVG Service Revenue for the remainder of the Engagement Year, plus evidenced demobilization costs.</w:t>
            </w:r>
          </w:p>
        </w:tc>
      </w:tr>
      <w:tr>
        <w:trPr>
          <w:tblHeader w:val="false"/>
        </w:trPr>
        <w:tc>
          <w:tcPr>
            <w:tcW w:type="dxa" w:w="2575"/>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6785"/>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An upgrade takes effect on the first day of the Engagement Month following the Client's written request. The enhanced service levels apply from the 30th day after the upgrade takes effect.</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A downgrade takes effect only at an Engagement quarter boundary, being the end of each period of three Engagement Months from the start of the Engagement Year, and only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addressed in one of three ways: it is chargeable at the rate card by change order under clause 14.5; the roster is reduced to the supported level within 60 days; or the Engagement is re-scoped as a bespoke tier. Absent agreement within 60 days, OBVG's obligation is limited to the new Tier's supported level and Automatum bears any resulting shortfall in its obligations to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7"/>
        <w:gridCol w:w="5173"/>
      </w:tblGrid>
      <w:tr>
        <w:trPr>
          <w:tblHeader/>
        </w:trPr>
        <w:tc>
          <w:tcPr>
            <w:tcW w:type="dxa" w:w="41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1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 Director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187"/>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17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OBVG personnel performing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OBVG personnel are presented as "the Automatum channel team". They may say they are part of that team, that they work on Automatum's channel program, and that they are contractors or partners of Automatum where directly asked. They may not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OBVG personnel's hours, supervise their manner of work, conduct their performance reviews or determine their compensation. OBVG supplies their equipment and working environment. Requests concerning an individual are made to OBVG's relationship manager under clause 9.5 and not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OBVG triages and routes under Schedule 4 paragraph 5.</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OBVG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and recorded in accordance with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OBVG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OBVG or PSR vendor branding, subject to clause 10.2. Automatum supplies brand guidelines and approves templates, and OBVG will not vary an approved template in a way affecting the Automatum Brand without approval. OBVG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OBVG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is measured in two legs, the OBVG leg and the Automatum leg.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
        <w:gridCol w:w="3076"/>
        <w:gridCol w:w="3404"/>
        <w:gridCol w:w="2487"/>
      </w:tblGrid>
      <w:tr>
        <w:trPr>
          <w:tblHeader/>
        </w:trPr>
        <w:tc>
          <w:tcPr>
            <w:tcW w:type="dxa" w:w="3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7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40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leg: Complete request to Issuance-Ready Package</w:t>
            </w:r>
          </w:p>
        </w:tc>
        <w:tc>
          <w:tcPr>
            <w:tcW w:type="dxa" w:w="24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Tier 2 is a fixed 8 Business Hours from receipt.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the OBVG leg runs from receipt of a Selling Authorization request to its submission to Automatum and is 2 Business Days, and the Automatum leg runs from that submission to issuance of the Selling Authorization and is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88"/>
        <w:gridCol w:w="1232"/>
        <w:gridCol w:w="2340"/>
      </w:tblGrid>
      <w:tr>
        <w:trPr>
          <w:tblHeader/>
        </w:trPr>
        <w:tc>
          <w:tcPr>
            <w:tcW w:type="dxa" w:w="578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3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OBVG</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OBVG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of Service Credits, clause 8.5 governs the caps on that flow-down and clause 8.7 governs Chronic Failure. A Service Credit is measured against the Registered Client's gross monthly Client Fees. A Service Credit deducted under clause 8.4 is not reversed or reduced by reference to subsequent service level performance.</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OBVG's license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license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applies to the license term. The PSR license cost is included in the OBVG Service Revenue and is not separately chargeable,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The PSR provides, for each Registered Client and under the Automatum Brand: a partner portal; an onboarding workflow including AWS registration, tax, banking and service-linked role status tracking; a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the instances to be synchronized, the master system, the direction of synchronization and which party holds each license; reporting supporting the monthly reporting pack under clause 5.1(k); and the append-only event log required by clause 10.5.</w:t>
      </w:r>
    </w:p>
    <w:p>
      <w:pPr>
        <w:spacing w:after="160" w:before="0" w:line="276"/>
        <w:jc w:val="both"/>
      </w:pPr>
      <w:r>
        <w:rPr>
          <w:rFonts w:ascii="Calibri" w:cs="Calibri" w:eastAsia="Calibri" w:hAnsi="Calibri"/>
          <w:sz w:val="22"/>
          <w:szCs w:val="22"/>
        </w:rPr>
        <w:t xml:space="preserve">Where a Registered Client's HubSpot or Salesforce instance is in scope for synchronization, the Client's cooperation is a dependency to which clause 6.7 applies.</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OBVG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OBVG-built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must be given by the PSR vendor in favor of Automatum and provide, in substance, that on OBVG's insolvency, cessation of business, or termination of this Agreement for OBVG's breach, the vendor will at Automatum's election and on its notice contract directly with Automatum or its nominee for the remainder of the affected Engagement Orders plus the transition period in clause 24.1; at the rates OBVG then pays or rates benchmarked to the vendor's then-current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41"/>
        <w:gridCol w:w="4519"/>
      </w:tblGrid>
      <w:tr>
        <w:trPr>
          <w:tblHeader/>
        </w:trPr>
        <w:tc>
          <w:tcPr>
            <w:tcW w:type="dxa" w:w="484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5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OBVG-Sourced / Automatum-Sourced / Joint or ACE-Sourced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100% OBVG (Net New) / 75% OBVG, 25% Automatum (Existing)</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license warranted?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Automatum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5616"/>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374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a Tier 1 Engagement counts as 1 weighted point, a Tier 2 Engagement as 2 weighted points and a Tier 3 Engagement as 4 weighted points. A Channel Manager may hold at most 12 weighted points and at most 4 Tier 3 Engagements, whichever limit is reached first. Clause 9.7 applies.</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Defaults</w:t>
      </w:r>
    </w:p>
    <w:p>
      <w:pPr>
        <w:pStyle w:val="Heading2"/>
        <w:keepNext/>
        <w:spacing w:after="140" w:before="300"/>
      </w:pPr>
      <w:r>
        <w:rPr>
          <w:rFonts w:ascii="Calibri" w:cs="Calibri" w:eastAsia="Calibri" w:hAnsi="Calibri"/>
          <w:b/>
          <w:bCs/>
          <w:sz w:val="24"/>
          <w:szCs w:val="24"/>
        </w:rPr>
        <w:t xml:space="preserve">1.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resolved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is published and no Engagement Order is executed at an untested Tier, and clause 14.4 applies.</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Assumptions</w:t>
      </w:r>
    </w:p>
    <w:p>
      <w:pPr>
        <w:spacing w:after="160" w:before="0" w:line="276"/>
        <w:jc w:val="both"/>
      </w:pPr>
      <w:r>
        <w:rPr>
          <w:rFonts w:ascii="Calibri" w:cs="Calibri" w:eastAsia="Calibri" w:hAnsi="Calibri"/>
          <w:b/>
          <w:bCs/>
          <w:sz w:val="22"/>
          <w:szCs w:val="22"/>
        </w:rPr>
        <w:t xml:space="preserve">2.1 Direct invoicing.</w:t>
      </w:r>
      <w:r>
        <w:rPr>
          <w:rFonts w:ascii="Calibri" w:cs="Calibri" w:eastAsia="Calibri" w:hAnsi="Calibri"/>
          <w:sz w:val="22"/>
          <w:szCs w:val="22"/>
        </w:rPr>
        <w:t xml:space="preserve"> Schedule 2 assumes that Client Fees are invoiced by Automatum to the Client directly, are not transacted through AWS Marketplace, and are not reduced by any listing fee. If Client Fees are later transacted through AWS Marketplace, the allocation of any listing fee is agreed under clause 11.9.</w:t>
      </w:r>
    </w:p>
    <w:p>
      <w:pPr>
        <w:spacing w:after="160" w:before="0" w:line="276"/>
        <w:jc w:val="both"/>
      </w:pPr>
      <w:r>
        <w:rPr>
          <w:rFonts w:ascii="Calibri" w:cs="Calibri" w:eastAsia="Calibri" w:hAnsi="Calibri"/>
          <w:b/>
          <w:bCs/>
          <w:sz w:val="22"/>
          <w:szCs w:val="22"/>
        </w:rPr>
        <w:t xml:space="preserve">2.2 Enterprise tier commitment.</w:t>
      </w:r>
      <w:r>
        <w:rPr>
          <w:rFonts w:ascii="Calibri" w:cs="Calibri" w:eastAsia="Calibri" w:hAnsi="Calibri"/>
          <w:sz w:val="22"/>
          <w:szCs w:val="22"/>
        </w:rPr>
        <w:t xml:space="preserve"> Automatum's $9,999 is assumed to be committed annually under the Client Agreement. Platform Revenue accrues under clause 11.2, and Automatum bears any shortfall between the Platform Revenue accrued on an Engagement that ends before the end of an Engagement Year and the amount Automatum has committed for that year.</w:t>
      </w:r>
    </w:p>
    <w:p>
      <w:pPr>
        <w:spacing w:after="160" w:before="0" w:line="276"/>
        <w:jc w:val="both"/>
      </w:pPr>
      <w:r>
        <w:rPr>
          <w:rFonts w:ascii="Calibri" w:cs="Calibri" w:eastAsia="Calibri" w:hAnsi="Calibri"/>
          <w:b/>
          <w:bCs/>
          <w:sz w:val="22"/>
          <w:szCs w:val="22"/>
        </w:rPr>
        <w:t xml:space="preserve">2.3 Cost of performance.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2.4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3.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6"/>
        <w:gridCol w:w="834"/>
      </w:tblGrid>
      <w:tr>
        <w:trPr>
          <w:tblHeader/>
        </w:trPr>
        <w:tc>
          <w:tcPr>
            <w:tcW w:type="dxa" w:w="85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8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OBVG files partner-sourced opportunities under clause 5.1(j)</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1</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4.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 applying until confirmed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OBVG's license; if none,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license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Venture Group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headerReference w:type="default" r:id="rId7"/>
      <w:footerReference w:type="default" r:id="rId8"/>
      <w:pgSz w:w="12240" w:h="15840" w:orient="portrait"/>
      <w:pgMar w:top="170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80"/>
      <w:jc w:val="left"/>
    </w:pPr>
    <w:r>
      <w:drawing>
        <wp:inline distT="0" distB="0" distL="0" distR="0">
          <wp:extent cx="5905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e395edf862900d67762237981df29cfd736e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Venture Group white label delivery agreement</dc:description>
  <cp:lastModifiedBy>Un-named</cp:lastModifiedBy>
  <cp:revision>1</cp:revision>
  <dcterms:created xsi:type="dcterms:W3CDTF">2026-09-21T03:08:20.497Z</dcterms:created>
  <dcterms:modified xsi:type="dcterms:W3CDTF">2026-09-21T03:08:20.500Z</dcterms:modified>
</cp:coreProperties>
</file>

<file path=docProps/custom.xml><?xml version="1.0" encoding="utf-8"?>
<Properties xmlns="http://schemas.openxmlformats.org/officeDocument/2006/custom-properties" xmlns:vt="http://schemas.openxmlformats.org/officeDocument/2006/docPropsVTypes"/>
</file>