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Marketplace Compliance Accelerator: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is losing or unable to reach enterprise deals that require procurement through AWS Marketplace. The engagement makes the product transactable on AWS — Well-Architected review, remediation, Foundational Technical Review and a published listing.</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Marketplace; AWS Marketplace Management Portal (AMMP); AWS Well-Architected Framework Review; AWS Foundational Technical Review (FTR); AWS Partner Central / ACE.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 against the wave one submission schedule]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the CRO, co-sponsored by the CISO, and the outcome is top-line: enterprise buyers increasingly procure software through AWS Marketplace, and an ISV without a listing cannot close those deals at all. The engagement converts blocked pipeline into transactable revenue. It combines AWS components (Marketplace, the Well-Architected Framework Review, the Foundational Technical Review), Automatum's listing and seller-of-record position, and OBP's delivery.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[CRO] — the revenue owner whose enterprise deals are blocked without a Marketplace listing. [CISO] co-sponsors where the Well-Architected and FTR evidence is what the enterprise buyer is asking for. Both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the Marketplace Compliance Accelerator: a fixed-fee project that opens AWS Marketplace as a route to market for an ISV that cannot currently transact there, in 14 to 18 business days of delivery, for $10,000.</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leads the solution, owns the listed software and is seller of record; OBP delivers the engagement. The customer signs one agreement and transacts through AWS Marketplace on Automatum's listing, with software on one line and professional services on the other.</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For the CRO the outcome is deals that can be closed on AWS rather than lost to procurement friction. For the CISO it is Well-Architected and FTR evidence an enterprise buyer will accept. The work is repeatable, the delivery window is provable, and Well-Architected data collection and remediation is automated by a licensed tool OBP operates. Proposed for wave one.</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a published, transacting AWS Marketplace listing, with the compliance evidence an enterprise buyer and AWS both require.</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The engagement covers: a Well-Architected Framework Review conducted and its findings remediated in the product; the AWS Foundational Technical Review prepared and submitted; the Marketplace listing built, configured and taken through publication; architecture diagrams maintained in AMMP to evidence the "Deployed on AWS" badge; and seller registration completed.</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Marketplace access is a precondition for a growing share of enterprise software procurement, and FTR acceptance grants AWS Qualified Software status and Solutions Finder placement, valid two years. Demand is evidenced by [pipeline figure — to supply from OBP's closed and in-flight deals].</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professional services against AWS-operated systems; there is no new software to build.</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Components: ASecureCloud, licensed and operated by OBP, automates the data collection for the Well-Architected review, suggests answers to the questionnaire, and generates CloudFormation and AWS CLI templates that resolve findings — Premium edition is required for Well-Architected reviews, and licences are held as a reassignable pool. Automatum supplies the Marketplace listing the product publishes to, and is seller of record. AWS supplies Marketplace, AMMP, the Well-Architected tool and the FTR process.</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Labour: OBP compliance engineering, plus [N] hours of the customer's own engineering availability for remediation. The customer supplies tax, bank and legal data for seller registration. No component is used that is not listed here. Licence cost recovery sits inside the engagement fee.</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losing enterprise deals to Marketplace procurement requirements, with no listing or a listing that has not passed FTR. A second segment buys on trust evidence: AWS Qualified Software status and Solutions Finder placement are what the enterprise security review asks for, and the CISO sponsors the work.</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driven by enterprise buyers requiring Marketplace transactability, and by ISVs pursuing AWS co-sell, which depends on it.</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AWS systems integrators offering listing services, ISVs attempting it in-house, and AWS's own self-service path. The differentiator is a fixed fee, a stated delivery window, and an automated Well-Architected component.</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solution carries its own overview and deck, and lists under its own Solution ID.</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for this solution; joint outbound from both partners; and AWS-facing collateral produced under the Managed AWS Alliances retainer for customers who buy both.</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delivers with existing compliance engineering staff. Automatum's involvement is the listing and seller-of-record position, not delivery labour.</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delivery window is a staffing commitment and is to be capacity-tested before publication. [Concurrent engagement capacity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No hiring is anticipated for this solution at the volumes currently forecast.</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Wave one of a two-wave submission sequence, submitted alongside Managed AWS Alliances. Wave two (Managed Marketplace Operations and Managed Partner Development) opens on this wave's Milestone 1 approval.</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14 to 18 business days of delivery. This is business days of delivery, not elapsed time; [the clock start — to define] and it runs from the customer's inputs being met.</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AWS's FTR review queue governs the publication date and is outside the partners' control; the twelve-month listing deadline applies from entry [clock basis — per Solution ID from entry, or programme-level — to confirm with AWS].</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$10,000 fixed, 50% on signature and 50% on completion. Twenty hours of remediation are included; further blocks of ten hours are $1,000 each.</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Revenue split between Automatum and OBP on the software and professional services lines is under negotiation. [Volume forecast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[Insert architecture diagram — to supply.]</w:t>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 in wave one.</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the work is repeatable, the delivery window is provable, the effort is largely automated and the commercial structure is simple. The open items are commercial rather than technical.</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Open before build: the commercial terms between Automatum and OBP; the clock-start definition; and confirmation that Automatum is lead partner of record on this Solution ID.</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for the engagement and for the compliance work. Automatum is first line for anything touching the listing itself, private offers or the seller-of-record position, since those sit in its account. Escalation between the partners is [named path — to define], and the customer sees a single named OBP owner throughout.</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OBP sources from its own compliance and AWS practice pipeline; Automatum sources from its listing and ISV relationships; AWS sources through ACE, where five opportunity submissions are committed for this solution. An opportunity belongs to exactly one solution and is registered against this Solution ID. Where a customer buys more than one of the four, the higher solution's commit column governs any overlap and the same work is not billed twice.</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Both partners have seen the engagement structure — one customer agreement per Solution ID, transacting on Automatum's listing, software on one line and professional services on the other. The revenue split on each line, the flow of funds and payment trigger, Marketplace fee treatment, milestone cash and credit apportionment, and component cost recovery are on the agenda for a partner call and remain unsettled.</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