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White Label Delivery Agreement (this "Agreement") is entered into as of [to supply: Effective Date] (the "Effective Date") by and between:</w:t>
      </w:r>
    </w:p>
    <w:p>
      <w:pPr>
        <w:spacing w:after="160" w:before="0" w:line="276"/>
        <w:jc w:val="both"/>
      </w:pP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with company number [to supply: registration number] and principal place of business at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w:t>
      </w:r>
    </w:p>
    <w:p>
      <w:pPr>
        <w:spacing w:after="160" w:before="0" w:line="276"/>
        <w:jc w:val="both"/>
      </w:pPr>
      <w:r>
        <w:rPr>
          <w:rFonts w:ascii="Calibri" w:cs="Calibri" w:eastAsia="Calibri" w:hAnsi="Calibri"/>
          <w:b/>
          <w:bCs/>
          <w:sz w:val="22"/>
          <w:szCs w:val="22"/>
        </w:rPr>
        <w:t xml:space="preserve">[to supply: Only Best Practices legal entity name]</w:t>
      </w:r>
      <w:r>
        <w:rPr>
          <w:rFonts w:ascii="Calibri" w:cs="Calibri" w:eastAsia="Calibri" w:hAnsi="Calibri"/>
          <w:sz w:val="22"/>
          <w:szCs w:val="22"/>
        </w:rPr>
        <w:t xml:space="preserve">, a [to supply: entity type] organized under the laws of [to supply: state of organization], with company number [to supply: registration number] and principal place of business at [to supply: OBP principal address] ("</w:t>
      </w:r>
      <w:r>
        <w:rPr>
          <w:rFonts w:ascii="Calibri" w:cs="Calibri" w:eastAsia="Calibri" w:hAnsi="Calibri"/>
          <w:b/>
          <w:bCs/>
          <w:sz w:val="22"/>
          <w:szCs w:val="22"/>
        </w:rPr>
        <w:t xml:space="preserve">OBP</w:t>
      </w:r>
      <w:r>
        <w:rPr>
          <w:rFonts w:ascii="Calibri" w:cs="Calibri" w:eastAsia="Calibri" w:hAnsi="Calibri"/>
          <w:sz w:val="22"/>
          <w:szCs w:val="22"/>
        </w:rPr>
        <w:t xml:space="preserve">").</w:t>
      </w:r>
    </w:p>
    <w:p>
      <w:pPr>
        <w:spacing w:after="160" w:before="0" w:line="276"/>
        <w:jc w:val="both"/>
      </w:pPr>
      <w:r>
        <w:rPr>
          <w:rFonts w:ascii="Calibri" w:cs="Calibri" w:eastAsia="Calibri" w:hAnsi="Calibri"/>
          <w:sz w:val="22"/>
          <w:szCs w:val="22"/>
        </w:rPr>
        <w:t xml:space="preserve">Automatum and OBP are each a "Party" and together the "Parties".</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that listing.</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OBP operates a managed channel function comprising reseller recruitment, partner contracting, enablement and training, a Channel Partner Private Offer deal desk, and channel governance, and licenses and operates a partner system of record supporting partner onboarding, deal registration and commission tracking.</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The Parties have jointly developed a solution called Managed Partner Development, under which an independent software vendor with a live AWS Marketplace listing engages a single provider to build and run its reseller channel on AWS. The solution is the subject of a feasibility study submitted to the AWS Business Outcomes Xcelerator program.</w:t>
      </w:r>
    </w:p>
    <w:p>
      <w:pPr>
        <w:spacing w:after="160" w:before="0" w:line="276"/>
        <w:jc w:val="both"/>
      </w:pPr>
      <w:r>
        <w:rPr>
          <w:rFonts w:ascii="Calibri" w:cs="Calibri" w:eastAsia="Calibri" w:hAnsi="Calibri"/>
          <w:b/>
          <w:bCs/>
          <w:sz w:val="22"/>
          <w:szCs w:val="22"/>
        </w:rPr>
        <w:t xml:space="preserve">D.</w:t>
      </w:r>
      <w:r>
        <w:rPr>
          <w:rFonts w:ascii="Calibri" w:cs="Calibri" w:eastAsia="Calibri" w:hAnsi="Calibri"/>
          <w:sz w:val="22"/>
          <w:szCs w:val="22"/>
        </w:rPr>
        <w:t xml:space="preserve"> The Parties intend that Automatum contracts with, invoices and faces each client, and that OBP performs the channel function as a subcontractor to Automatum under Automatum's brand, such that OBP is not presented to the client as a separate provider.</w:t>
      </w:r>
    </w:p>
    <w:p>
      <w:pPr>
        <w:spacing w:after="160" w:before="0" w:line="276"/>
        <w:jc w:val="both"/>
      </w:pPr>
      <w:r>
        <w:rPr>
          <w:rFonts w:ascii="Calibri" w:cs="Calibri" w:eastAsia="Calibri" w:hAnsi="Calibri"/>
          <w:b/>
          <w:bCs/>
          <w:sz w:val="22"/>
          <w:szCs w:val="22"/>
        </w:rPr>
        <w:t xml:space="preserve">E.</w:t>
      </w:r>
      <w:r>
        <w:rPr>
          <w:rFonts w:ascii="Calibri" w:cs="Calibri" w:eastAsia="Calibri" w:hAnsi="Calibri"/>
          <w:sz w:val="22"/>
          <w:szCs w:val="22"/>
        </w:rPr>
        <w:t xml:space="preserve"> The Parties intend this arrangement to be non-exclusive, and each Party remains free to pursue comparable arrangements with third parties, subject to the restrictions set out in this Agreement.</w:t>
      </w:r>
    </w:p>
    <w:p>
      <w:pPr>
        <w:spacing w:after="160" w:before="0" w:line="276"/>
        <w:jc w:val="both"/>
      </w:pPr>
      <w:r>
        <w:rPr>
          <w:rFonts w:ascii="Calibri" w:cs="Calibri" w:eastAsia="Calibri" w:hAnsi="Calibri"/>
          <w:sz w:val="22"/>
          <w:szCs w:val="22"/>
        </w:rPr>
        <w:t xml:space="preserve">The Parties therefore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In this Agreement, the following capitalized terms have the meanings given below.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within the preceding three hundred sixty five (365) days. A Recruited Partner that has not done so is not an Active Partner regardless of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operated by AWS.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Party's participation in the AWS ecosystem, in each case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 logos, trademarks, service marks, domain names, email domains, templates, document styles and other brand assets that Automatum makes available to OBP for use in delivering the Services.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OBP-Sourced, Automatum-Sourced, or Joint or ACE-Sourced, determined and recorded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and recorded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at any time in the ninety (90) days before that date, subscribes or subscribed to Automatum's Enterprise tier or any other paid Automatum subscription.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 Client that is not an Existing Automatum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nine thousand nine hundred ninety nine dollars ($9,999) per Engagement Year, being the price of Automatum's Enterprise tier. Platform Revenue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states how Service Revenue is divided, which depends on Client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 different coverage window is stated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scheduled governance session with a Registered Client covering partner pipeline, partner performance, Offer-Issuing Partner count and remediation actions, delivered at the cadence for the applicable Tier set out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an independent software vendor or other software provider that contracts with Automatum for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between Automatum and a Client under which Automatum supplies the Solution to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that is created, collected, processed or stored in the course of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to Automatum under its Client Agreement for the Solution, excluding Taxes and any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has the meaning given in clause 17.1.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submitted by or on behalf of a Recruited Partner or a Registered Client for support in structuring, pricing, registering or progressing a CPPO, submitted through the channel and in the form specified in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the supply of the Solution to a single Registered Client under a single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a calendar month, during which an Engagement is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executed by the Parties in the form set out in Schedule 6, adding a Client to the Client Registry and engaging OBP to deliver the Services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period of twelve (12) consecutive months beginning on the start date stated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OBP to Automatum so that Automatum can issue the offer. Schedule 4 states what it must contain.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Materials</w:t>
      </w:r>
      <w:r>
        <w:rPr>
          <w:rFonts w:ascii="Calibri" w:cs="Calibri" w:eastAsia="Calibri" w:hAnsi="Calibri"/>
          <w:sz w:val="22"/>
          <w:szCs w:val="22"/>
        </w:rPr>
        <w:t xml:space="preserve">" means the methodologies, playbooks, templates, partner agreement forms, margin schedule forms, training curricula, enablement content, processes and know-how that OBP owns or licenses and uses in delivering the Services, together with the Partner System of Record.</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Service Revenue</w:t>
      </w:r>
      <w:r>
        <w:rPr>
          <w:rFonts w:ascii="Calibri" w:cs="Calibri" w:eastAsia="Calibri" w:hAnsi="Calibri"/>
          <w:sz w:val="22"/>
          <w:szCs w:val="22"/>
        </w:rPr>
        <w:t xml:space="preserve">" means OBP's share of the Service Revenue, as determined by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in respect of a Registered Client and a measurement period, a Recruited Partner that has issued at least one CPPO against that Client's listing during that period, as recorded in the Partner System of Record and determined in accordance with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OBP under clause 10 and Schedule 5, providing partner portal, onboarding, deal registration and commission tracking functions,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that is subject to any Privacy Law.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relating to the protection of Personal Data applicable to a Party's performance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that OBP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that has been added to the Client Registry under clause 4 and in respect of which an Engagement Order is in effect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OBP performs under this Agreement, as described in clause 5 and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that Automatum is required to give a Registered Client under its Client Agreement for a failure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Tier</w:t>
      </w:r>
      <w:r>
        <w:rPr>
          <w:rFonts w:ascii="Calibri" w:cs="Calibri" w:eastAsia="Calibri" w:hAnsi="Calibri"/>
          <w:sz w:val="22"/>
          <w:szCs w:val="22"/>
        </w:rPr>
        <w:t xml:space="preserve">" means Tier 1, Tier 2 or Tier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b/>
          <w:bCs/>
          <w:sz w:val="22"/>
          <w:szCs w:val="22"/>
        </w:rPr>
        <w:t xml:space="preserve">1.2.1</w:t>
      </w:r>
      <w:r>
        <w:rPr>
          <w:rFonts w:ascii="Calibri" w:cs="Calibri" w:eastAsia="Calibri" w:hAnsi="Calibri"/>
          <w:sz w:val="22"/>
          <w:szCs w:val="22"/>
        </w:rPr>
        <w:t xml:space="preserve"> Clause headings are for convenience only and do not affect interpretation.</w:t>
      </w:r>
    </w:p>
    <w:p>
      <w:pPr>
        <w:spacing w:after="160" w:before="0" w:line="276"/>
        <w:jc w:val="both"/>
      </w:pPr>
      <w:r>
        <w:rPr>
          <w:rFonts w:ascii="Calibri" w:cs="Calibri" w:eastAsia="Calibri" w:hAnsi="Calibri"/>
          <w:b/>
          <w:bCs/>
          <w:sz w:val="22"/>
          <w:szCs w:val="22"/>
        </w:rPr>
        <w:t xml:space="preserve">1.2.2</w:t>
      </w:r>
      <w:r>
        <w:rPr>
          <w:rFonts w:ascii="Calibri" w:cs="Calibri" w:eastAsia="Calibri" w:hAnsi="Calibri"/>
          <w:sz w:val="22"/>
          <w:szCs w:val="22"/>
        </w:rPr>
        <w:t xml:space="preserve"> "Including", "includes" and "for example" are not words of limitation, and are read as if followed by "without limitation".</w:t>
      </w:r>
    </w:p>
    <w:p>
      <w:pPr>
        <w:spacing w:after="160" w:before="0" w:line="276"/>
        <w:jc w:val="both"/>
      </w:pPr>
      <w:r>
        <w:rPr>
          <w:rFonts w:ascii="Calibri" w:cs="Calibri" w:eastAsia="Calibri" w:hAnsi="Calibri"/>
          <w:b/>
          <w:bCs/>
          <w:sz w:val="22"/>
          <w:szCs w:val="22"/>
        </w:rPr>
        <w:t xml:space="preserve">1.2.3</w:t>
      </w:r>
      <w:r>
        <w:rPr>
          <w:rFonts w:ascii="Calibri" w:cs="Calibri" w:eastAsia="Calibri" w:hAnsi="Calibri"/>
          <w:sz w:val="22"/>
          <w:szCs w:val="22"/>
        </w:rPr>
        <w:t xml:space="preserve"> "$" and "USD" mean United States dollars. All amounts in this Agreement are stated exclusive of Taxes.</w:t>
      </w:r>
    </w:p>
    <w:p>
      <w:pPr>
        <w:spacing w:after="160" w:before="0" w:line="276"/>
        <w:jc w:val="both"/>
      </w:pPr>
      <w:r>
        <w:rPr>
          <w:rFonts w:ascii="Calibri" w:cs="Calibri" w:eastAsia="Calibri" w:hAnsi="Calibri"/>
          <w:b/>
          <w:bCs/>
          <w:sz w:val="22"/>
          <w:szCs w:val="22"/>
        </w:rPr>
        <w:t xml:space="preserve">1.2.4</w:t>
      </w:r>
      <w:r>
        <w:rPr>
          <w:rFonts w:ascii="Calibri" w:cs="Calibri" w:eastAsia="Calibri" w:hAnsi="Calibri"/>
          <w:sz w:val="22"/>
          <w:szCs w:val="22"/>
        </w:rPr>
        <w:t xml:space="preserve"> A reference to a clause or Schedule is to a clause of, or Schedule to, this Agreement. The Schedules form part of this Agreement.</w:t>
      </w:r>
    </w:p>
    <w:p>
      <w:pPr>
        <w:spacing w:after="160" w:before="0" w:line="276"/>
        <w:jc w:val="both"/>
      </w:pPr>
      <w:r>
        <w:rPr>
          <w:rFonts w:ascii="Calibri" w:cs="Calibri" w:eastAsia="Calibri" w:hAnsi="Calibri"/>
          <w:b/>
          <w:bCs/>
          <w:sz w:val="22"/>
          <w:szCs w:val="22"/>
        </w:rPr>
        <w:t xml:space="preserve">1.2.5</w:t>
      </w:r>
      <w:r>
        <w:rPr>
          <w:rFonts w:ascii="Calibri" w:cs="Calibri" w:eastAsia="Calibri" w:hAnsi="Calibri"/>
          <w:sz w:val="22"/>
          <w:szCs w:val="22"/>
        </w:rPr>
        <w:t xml:space="preserve"> The singular includes the plural and the reverse.</w:t>
      </w:r>
    </w:p>
    <w:p>
      <w:pPr>
        <w:spacing w:after="160" w:before="0" w:line="276"/>
        <w:jc w:val="both"/>
      </w:pPr>
      <w:r>
        <w:rPr>
          <w:rFonts w:ascii="Calibri" w:cs="Calibri" w:eastAsia="Calibri" w:hAnsi="Calibri"/>
          <w:b/>
          <w:bCs/>
          <w:sz w:val="22"/>
          <w:szCs w:val="22"/>
        </w:rPr>
        <w:t xml:space="preserve">1.2.6</w:t>
      </w:r>
      <w:r>
        <w:rPr>
          <w:rFonts w:ascii="Calibri" w:cs="Calibri" w:eastAsia="Calibri" w:hAnsi="Calibri"/>
          <w:sz w:val="22"/>
          <w:szCs w:val="22"/>
        </w:rPr>
        <w:t xml:space="preserve"> A reference to a statute, regulation or AWS Program Term is to it as amended, replaced or superseded from time to time.</w:t>
      </w:r>
    </w:p>
    <w:p>
      <w:pPr>
        <w:spacing w:after="160" w:before="0" w:line="276"/>
        <w:jc w:val="both"/>
      </w:pPr>
      <w:r>
        <w:rPr>
          <w:rFonts w:ascii="Calibri" w:cs="Calibri" w:eastAsia="Calibri" w:hAnsi="Calibri"/>
          <w:b/>
          <w:bCs/>
          <w:sz w:val="22"/>
          <w:szCs w:val="22"/>
        </w:rPr>
        <w:t xml:space="preserve">1.2.7</w:t>
      </w:r>
      <w:r>
        <w:rPr>
          <w:rFonts w:ascii="Calibri" w:cs="Calibri" w:eastAsia="Calibri" w:hAnsi="Calibri"/>
          <w:sz w:val="22"/>
          <w:szCs w:val="22"/>
        </w:rPr>
        <w:t xml:space="preserve"> No rule of construction operates against the Party that drafted this Agreement.</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executed under it.</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An Engagement Order incorporates this Agreement by reference and does not need to restate it. An Engagement Order takes effect only when signed by both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If there is a conflict, the following order of precedence applies, with the higher item prevailing over the lower to the extent of the conflict:</w:t>
      </w:r>
    </w:p>
    <w:p>
      <w:pPr>
        <w:spacing w:after="80" w:before="60" w:line="276"/>
        <w:ind w:left="780" w:hanging="360"/>
      </w:pPr>
      <w:r>
        <w:rPr>
          <w:rFonts w:ascii="Calibri" w:cs="Calibri" w:eastAsia="Calibri" w:hAnsi="Calibri"/>
          <w:sz w:val="22"/>
          <w:szCs w:val="22"/>
        </w:rPr>
        <w:t xml:space="preserve">a.	an Engagement Order, but only in respect of the Engagement to which it relates, and only where it expressly identifies the clause or Schedule provision it varies;</w:t>
      </w:r>
    </w:p>
    <w:p>
      <w:pPr>
        <w:spacing w:after="80" w:before="60" w:line="276"/>
        <w:ind w:left="780" w:hanging="360"/>
      </w:pPr>
      <w:r>
        <w:rPr>
          <w:rFonts w:ascii="Calibri" w:cs="Calibri" w:eastAsia="Calibri" w:hAnsi="Calibri"/>
          <w:sz w:val="22"/>
          <w:szCs w:val="22"/>
        </w:rPr>
        <w:t xml:space="preserve">b.	these clauses 1 to 27;</w:t>
      </w:r>
    </w:p>
    <w:p>
      <w:pPr>
        <w:spacing w:after="80" w:before="60" w:line="276"/>
        <w:ind w:left="780" w:hanging="360"/>
      </w:pPr>
      <w:r>
        <w:rPr>
          <w:rFonts w:ascii="Calibri" w:cs="Calibri" w:eastAsia="Calibri" w:hAnsi="Calibri"/>
          <w:sz w:val="22"/>
          <w:szCs w:val="22"/>
        </w:rPr>
        <w:t xml:space="preserve">c.	the Schedules.</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A Client Agreement is not part of this Agreement, does not bind OBP, and cannot vary this Agreement. Clause 6.5 governs the extent to which Client Agreement terms flow down to OBP.</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OBP, and OBP accepts appointment, as a delivery subcontractor to perform the Services for Registered Clients under the Automatum Brand, on the terms of this Agreement.</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in both directions. Nothing in this Agreement prevents:</w:t>
      </w:r>
    </w:p>
    <w:p>
      <w:pPr>
        <w:spacing w:after="80" w:before="60" w:line="276"/>
        <w:ind w:left="780" w:hanging="360"/>
      </w:pPr>
      <w:r>
        <w:rPr>
          <w:rFonts w:ascii="Calibri" w:cs="Calibri" w:eastAsia="Calibri" w:hAnsi="Calibri"/>
          <w:sz w:val="22"/>
          <w:szCs w:val="22"/>
        </w:rPr>
        <w:t xml:space="preserve">a.	Automatum from performing the Services itself, or from appointing any other person to perform services that are the same as or similar to the Services, for any client; or</w:t>
      </w:r>
    </w:p>
    <w:p>
      <w:pPr>
        <w:spacing w:after="80" w:before="60" w:line="276"/>
        <w:ind w:left="780" w:hanging="360"/>
      </w:pPr>
      <w:r>
        <w:rPr>
          <w:rFonts w:ascii="Calibri" w:cs="Calibri" w:eastAsia="Calibri" w:hAnsi="Calibri"/>
          <w:sz w:val="22"/>
          <w:szCs w:val="22"/>
        </w:rPr>
        <w:t xml:space="preserve">b.	OBP from providing services that are the same as or similar to the Services to any other person, including to another AWS Marketplace seller.</w:t>
      </w:r>
    </w:p>
    <w:p>
      <w:pPr>
        <w:spacing w:after="160" w:before="0" w:line="276"/>
        <w:jc w:val="both"/>
      </w:pPr>
      <w:r>
        <w:rPr>
          <w:rFonts w:ascii="Calibri" w:cs="Calibri" w:eastAsia="Calibri" w:hAnsi="Calibri"/>
          <w:sz w:val="22"/>
          <w:szCs w:val="22"/>
        </w:rPr>
        <w:t xml:space="preserve">This clause 3.2 is subject to clause 15 (Non-Circumvention and Non-Solicitation), which operates only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does not commit to any minimum number of Engagements, Registered Clients or Client Fees. OBP acknowledges that it has not relied on any forecast, including any projection in the feasibility study referred to in Recital C, in entering into this Agreement.</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OBP is an independent contractor. OBP is not Automatum's agent, employee, partner or joint venturer, and has no authority to enter into any commitment, make any representation, incur any liability or accept any obligation on Automatum's behalf, except as Automatum expressly authorizes in writing in respect of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As between the Parties and each Registered Client, Automatum is the prime contractor and is responsible to the Registered Client for the Solution as a whole. As between the Parties, OBP is responsible for the Services and for the acts and omissions of its personnel and subcontractors in performing them.</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Because the appointment is non-exclusive, the Client Registry is the sole record of which Clients are subject to this Agreement. A Client is within the scope of this Agreement only once it is entered in the Client Registry.</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to the Client Registry when the Parties execute an Engagement Order for that Client. Automatum maintains the Client Registry and provides OBP with a current copy on request and in any event with each monthly statement under clause 11.6.</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the Client Source determined under clause 4.7; the Engagement start date and Engagement Year dates; the Client Fees; the resulting OBP Service Revenue calculated under clause 11.2; the named personnel required by clause 9; the PSR seat allocation; and any variation to this Agreement permitted by clause 2.3(a).</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OBP may notify Automatum in writing that it has a pre-existing relationship with the proposed Client or with a named partner of that Client, giving reasonable evidence of that relationship. A relationship so notified and evidenced is a "Prior Relationship" and is carved out of clause 15.2 in respect of that Client or partner. A relationship not notified before the Engagement Order is executed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OBP may decline a proposed Engagement Order by notice given within five (5) Business Days of receiving it, acting reasonably, including where OBP lacks capacity to meet the service levels for the proposed Tier or where the proposed Client competes with an existing OBP client. Declining does not breach this Agreement. Automatum may then perform the Services itself or appoint another provider for that Client, and that Client is not a Registered Client.</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Client Registry while its Engagement is in effect and for the tail period stated in clause 15.4, after which it is marked closed. Closure does not affect obligations that survive under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and the Client Registry carries, two classifications determined at the date the Engagement Order is executed:</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being Net New Client or Existing Automatum Client as defined in clause 1.1. Automatum will disclose to OBP, before the Engagement Order is executed, whether the proposed Client subscribes or has subscribed to any paid Automatum subscription in the ninety (90) days before that date, and will provide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being OBP-Sourced, Automatum-Sourced, or Joint or ACE-Sourced, decided by which Party first made documented contact with the Client about the Solution, or Joint or ACE-Sourced where the opportunity arrived through AWS ACE or neither Party can show first contact.</w:t>
      </w:r>
    </w:p>
    <w:p>
      <w:pPr>
        <w:spacing w:after="160" w:before="0" w:line="276"/>
        <w:jc w:val="both"/>
      </w:pPr>
      <w:r>
        <w:rPr>
          <w:rFonts w:ascii="Calibri" w:cs="Calibri" w:eastAsia="Calibri" w:hAnsi="Calibri"/>
          <w:sz w:val="22"/>
          <w:szCs w:val="22"/>
        </w:rPr>
        <w:t xml:space="preserve">Both classifications are fixed when the Engagement Order is executed and are not revisited for that Engagement Year. A Client's Status is re-determined only on a renewal Engagement Order, at which point a Net New Client that has since become a subscriber is an Existing Automatum Client.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OBP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OBP will perform the Services described in Schedule 1 for the applicable Tier, in accordance with the service levels in Schedule 4, using suitably skilled and experienced personnel, with reasonable skill and care.</w:t>
      </w:r>
    </w:p>
    <w:p>
      <w:pPr>
        <w:spacing w:after="160" w:before="0" w:line="276"/>
        <w:jc w:val="both"/>
      </w:pPr>
      <w:r>
        <w:rPr>
          <w:rFonts w:ascii="Calibri" w:cs="Calibri" w:eastAsia="Calibri" w:hAnsi="Calibri"/>
          <w:b/>
          <w:bCs/>
          <w:sz w:val="22"/>
          <w:szCs w:val="22"/>
        </w:rPr>
        <w:t xml:space="preserve">5.2 Partner recruitment.</w:t>
      </w:r>
      <w:r>
        <w:rPr>
          <w:rFonts w:ascii="Calibri" w:cs="Calibri" w:eastAsia="Calibri" w:hAnsi="Calibri"/>
          <w:sz w:val="22"/>
          <w:szCs w:val="22"/>
        </w:rPr>
        <w:t xml:space="preserve"> OBP will identify, qualify, recruit and onboard Recruited Partners for each Registered Client up to the number stated for the applicable Tier in Schedule 1.</w:t>
      </w:r>
    </w:p>
    <w:p>
      <w:pPr>
        <w:spacing w:after="160" w:before="0" w:line="276"/>
        <w:jc w:val="both"/>
      </w:pPr>
      <w:r>
        <w:rPr>
          <w:rFonts w:ascii="Calibri" w:cs="Calibri" w:eastAsia="Calibri" w:hAnsi="Calibri"/>
          <w:b/>
          <w:bCs/>
          <w:sz w:val="22"/>
          <w:szCs w:val="22"/>
        </w:rPr>
        <w:t xml:space="preserve">5.3 Recruitment is a ceiling, not a minimum.</w:t>
      </w:r>
      <w:r>
        <w:rPr>
          <w:rFonts w:ascii="Calibri" w:cs="Calibri" w:eastAsia="Calibri" w:hAnsi="Calibri"/>
          <w:sz w:val="22"/>
          <w:szCs w:val="22"/>
        </w:rPr>
        <w:t xml:space="preserve"> The partner numbers in Schedule 1 are the maximum number of Recruited Partners OBP is obliged to recruit and onboard at each Tier. OBP does not warrant, and is not obliged to procure, that any minimum number of partners is recruited, onboarded, authorized, transacts, or becomes an Active Partner. Automatum will not represent otherwise to any Client. This clause 5.3 prevails over any contrary reading of Schedule 1.</w:t>
      </w:r>
    </w:p>
    <w:p>
      <w:pPr>
        <w:spacing w:after="160" w:before="0" w:line="276"/>
        <w:jc w:val="both"/>
      </w:pPr>
      <w:r>
        <w:rPr>
          <w:rFonts w:ascii="Calibri" w:cs="Calibri" w:eastAsia="Calibri" w:hAnsi="Calibri"/>
          <w:b/>
          <w:bCs/>
          <w:sz w:val="22"/>
          <w:szCs w:val="22"/>
        </w:rPr>
        <w:t xml:space="preserve">5.4 Partner contracting.</w:t>
      </w:r>
      <w:r>
        <w:rPr>
          <w:rFonts w:ascii="Calibri" w:cs="Calibri" w:eastAsia="Calibri" w:hAnsi="Calibri"/>
          <w:sz w:val="22"/>
          <w:szCs w:val="22"/>
        </w:rPr>
        <w:t xml:space="preserve"> OBP will draft, issue and administer the partner agreement and margin schedule for each Registered Client's channel. Each partner agreement is executed between the Registered Client, or Automatum acting as that Client's agent, and the Recruited Partner. </w:t>
      </w:r>
      <w:r>
        <w:rPr>
          <w:rFonts w:ascii="Calibri" w:cs="Calibri" w:eastAsia="Calibri" w:hAnsi="Calibri"/>
          <w:b/>
          <w:bCs/>
          <w:sz w:val="22"/>
          <w:szCs w:val="22"/>
        </w:rPr>
        <w:t xml:space="preserve">OBP is not a party to any partner agreement as principal</w:t>
      </w:r>
      <w:r>
        <w:rPr>
          <w:rFonts w:ascii="Calibri" w:cs="Calibri" w:eastAsia="Calibri" w:hAnsi="Calibri"/>
          <w:sz w:val="22"/>
          <w:szCs w:val="22"/>
        </w:rPr>
        <w:t xml:space="preserve"> and will not enter into any partner agreement in its own name. OBP administers partner agreements as agent, under the limited authority granted in the relevant Engagement Order and no wider.</w:t>
      </w:r>
    </w:p>
    <w:p>
      <w:pPr>
        <w:spacing w:after="160" w:before="0" w:line="276"/>
        <w:jc w:val="both"/>
      </w:pPr>
      <w:r>
        <w:rPr>
          <w:rFonts w:ascii="Calibri" w:cs="Calibri" w:eastAsia="Calibri" w:hAnsi="Calibri"/>
          <w:b/>
          <w:bCs/>
          <w:sz w:val="22"/>
          <w:szCs w:val="22"/>
        </w:rPr>
        <w:t xml:space="preserve">5.5 Enablement and training.</w:t>
      </w:r>
      <w:r>
        <w:rPr>
          <w:rFonts w:ascii="Calibri" w:cs="Calibri" w:eastAsia="Calibri" w:hAnsi="Calibri"/>
          <w:sz w:val="22"/>
          <w:szCs w:val="22"/>
        </w:rPr>
        <w:t xml:space="preserve"> OBP will deliver partner enablement and training sessions at the cadence stated for the applicable Tier in Schedule 1.</w:t>
      </w:r>
    </w:p>
    <w:p>
      <w:pPr>
        <w:spacing w:after="160" w:before="0" w:line="276"/>
        <w:jc w:val="both"/>
      </w:pPr>
      <w:r>
        <w:rPr>
          <w:rFonts w:ascii="Calibri" w:cs="Calibri" w:eastAsia="Calibri" w:hAnsi="Calibri"/>
          <w:b/>
          <w:bCs/>
          <w:sz w:val="22"/>
          <w:szCs w:val="22"/>
        </w:rPr>
        <w:t xml:space="preserve">5.6 Deal desk.</w:t>
      </w:r>
      <w:r>
        <w:rPr>
          <w:rFonts w:ascii="Calibri" w:cs="Calibri" w:eastAsia="Calibri" w:hAnsi="Calibri"/>
          <w:sz w:val="22"/>
          <w:szCs w:val="22"/>
        </w:rPr>
        <w:t xml:space="preserve"> OBP will operate the CPPO deal desk, receiving Deal Desk Requests and delivering an Issuance-Ready Package to Automatum within the OBP leg of the applicable service level in Schedule 4. OBP's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5.7 Channel Reviews.</w:t>
      </w:r>
      <w:r>
        <w:rPr>
          <w:rFonts w:ascii="Calibri" w:cs="Calibri" w:eastAsia="Calibri" w:hAnsi="Calibri"/>
          <w:sz w:val="22"/>
          <w:szCs w:val="22"/>
        </w:rPr>
        <w:t xml:space="preserve"> OBP will prepare and deliver Channel Reviews at the cadence stated for the applicable Tier in Schedule 1.</w:t>
      </w:r>
    </w:p>
    <w:p>
      <w:pPr>
        <w:spacing w:after="160" w:before="0" w:line="276"/>
        <w:jc w:val="both"/>
      </w:pPr>
      <w:r>
        <w:rPr>
          <w:rFonts w:ascii="Calibri" w:cs="Calibri" w:eastAsia="Calibri" w:hAnsi="Calibri"/>
          <w:b/>
          <w:bCs/>
          <w:sz w:val="22"/>
          <w:szCs w:val="22"/>
        </w:rPr>
        <w:t xml:space="preserve">5.8 Selling Authorizations.</w:t>
      </w:r>
      <w:r>
        <w:rPr>
          <w:rFonts w:ascii="Calibri" w:cs="Calibri" w:eastAsia="Calibri" w:hAnsi="Calibri"/>
          <w:sz w:val="22"/>
          <w:szCs w:val="22"/>
        </w:rPr>
        <w:t xml:space="preserve"> OBP will prepare, and submit to Automatum for issuance, requests for recurring Selling Authorizations for Recruited Partners, and will track their status in the PSR. Issuance is Automatum's under clause 6.3.</w:t>
      </w:r>
    </w:p>
    <w:p>
      <w:pPr>
        <w:spacing w:after="160" w:before="0" w:line="276"/>
        <w:jc w:val="both"/>
      </w:pPr>
      <w:r>
        <w:rPr>
          <w:rFonts w:ascii="Calibri" w:cs="Calibri" w:eastAsia="Calibri" w:hAnsi="Calibri"/>
          <w:b/>
          <w:bCs/>
          <w:sz w:val="22"/>
          <w:szCs w:val="22"/>
        </w:rPr>
        <w:t xml:space="preserve">5.9 Partner System of Record.</w:t>
      </w:r>
      <w:r>
        <w:rPr>
          <w:rFonts w:ascii="Calibri" w:cs="Calibri" w:eastAsia="Calibri" w:hAnsi="Calibri"/>
          <w:sz w:val="22"/>
          <w:szCs w:val="22"/>
        </w:rPr>
        <w:t xml:space="preserve"> OBP will stand up, configure, host, operate, support and maintain the PSR for each Engagement in accordance with clause 10 and Schedule 5. The PSR is supplied within the OBP Service Revenue and is not separately chargeable.</w:t>
      </w:r>
    </w:p>
    <w:p>
      <w:pPr>
        <w:spacing w:after="160" w:before="0" w:line="276"/>
        <w:jc w:val="both"/>
      </w:pPr>
      <w:r>
        <w:rPr>
          <w:rFonts w:ascii="Calibri" w:cs="Calibri" w:eastAsia="Calibri" w:hAnsi="Calibri"/>
          <w:b/>
          <w:bCs/>
          <w:sz w:val="22"/>
          <w:szCs w:val="22"/>
        </w:rPr>
        <w:t xml:space="preserve">5.10 Attribution.</w:t>
      </w:r>
      <w:r>
        <w:rPr>
          <w:rFonts w:ascii="Calibri" w:cs="Calibri" w:eastAsia="Calibri" w:hAnsi="Calibri"/>
          <w:sz w:val="22"/>
          <w:szCs w:val="22"/>
        </w:rPr>
        <w:t xml:space="preserve"> OBP will support configuration of AWS Partner Revenue Measurement attribution for each Registered Client's channel, to the extent that configuration is within OBP's control. Where configuration requires action by Automatum, the Registered Client or AWS, OBP's obligation is to specify what is required and to verify the result once done.</w:t>
      </w:r>
    </w:p>
    <w:p>
      <w:pPr>
        <w:spacing w:after="160" w:before="0" w:line="276"/>
        <w:jc w:val="both"/>
      </w:pPr>
      <w:r>
        <w:rPr>
          <w:rFonts w:ascii="Calibri" w:cs="Calibri" w:eastAsia="Calibri" w:hAnsi="Calibri"/>
          <w:b/>
          <w:bCs/>
          <w:sz w:val="22"/>
          <w:szCs w:val="22"/>
        </w:rPr>
        <w:t xml:space="preserve">5.11 ACE submissions.</w:t>
      </w:r>
      <w:r>
        <w:rPr>
          <w:rFonts w:ascii="Calibri" w:cs="Calibri" w:eastAsia="Calibri" w:hAnsi="Calibri"/>
          <w:sz w:val="22"/>
          <w:szCs w:val="22"/>
        </w:rPr>
        <w:t xml:space="preserve"> OBP will file partner-sourced opportunities to ACE under the APN account designated in Schedule 8, and not under any other account. OBP will track partner-sourced opportunities distinctly from any baseline quota, and will not submit an opportunity it knows or ought reasonably to know to be inaccurate.</w:t>
      </w:r>
    </w:p>
    <w:p>
      <w:pPr>
        <w:spacing w:after="160" w:before="0" w:line="276"/>
        <w:jc w:val="both"/>
      </w:pPr>
      <w:r>
        <w:rPr>
          <w:rFonts w:ascii="Calibri" w:cs="Calibri" w:eastAsia="Calibri" w:hAnsi="Calibri"/>
          <w:b/>
          <w:bCs/>
          <w:sz w:val="22"/>
          <w:szCs w:val="22"/>
        </w:rPr>
        <w:t xml:space="preserve">5.12 Reporting.</w:t>
      </w:r>
      <w:r>
        <w:rPr>
          <w:rFonts w:ascii="Calibri" w:cs="Calibri" w:eastAsia="Calibri" w:hAnsi="Calibri"/>
          <w:sz w:val="22"/>
          <w:szCs w:val="22"/>
        </w:rPr>
        <w:t xml:space="preserve"> OBP will deliver the monthly reporting pack described in Schedule 4 within five (5) Business Days of each month end, in the Automatum Brand and in a form Automatum can pass to the Registered Client without alteration.</w:t>
      </w:r>
    </w:p>
    <w:p>
      <w:pPr>
        <w:spacing w:after="160" w:before="0" w:line="276"/>
        <w:jc w:val="both"/>
      </w:pPr>
      <w:r>
        <w:rPr>
          <w:rFonts w:ascii="Calibri" w:cs="Calibri" w:eastAsia="Calibri" w:hAnsi="Calibri"/>
          <w:b/>
          <w:bCs/>
          <w:sz w:val="22"/>
          <w:szCs w:val="22"/>
        </w:rPr>
        <w:t xml:space="preserve">5.13 First line of support.</w:t>
      </w:r>
      <w:r>
        <w:rPr>
          <w:rFonts w:ascii="Calibri" w:cs="Calibri" w:eastAsia="Calibri" w:hAnsi="Calibri"/>
          <w:sz w:val="22"/>
          <w:szCs w:val="22"/>
        </w:rPr>
        <w:t xml:space="preserve"> OBP is first line of support for the channel, the deal desk and the PSR, through the personnel named under clause 9, routed through the single Automatum-branded intake described in Schedule 3.</w:t>
      </w:r>
    </w:p>
    <w:p>
      <w:pPr>
        <w:spacing w:after="160" w:before="0" w:line="276"/>
        <w:jc w:val="both"/>
      </w:pPr>
      <w:r>
        <w:rPr>
          <w:rFonts w:ascii="Calibri" w:cs="Calibri" w:eastAsia="Calibri" w:hAnsi="Calibri"/>
          <w:b/>
          <w:bCs/>
          <w:sz w:val="22"/>
          <w:szCs w:val="22"/>
        </w:rPr>
        <w:t xml:space="preserve">5.14 Compliance with instructions.</w:t>
      </w:r>
      <w:r>
        <w:rPr>
          <w:rFonts w:ascii="Calibri" w:cs="Calibri" w:eastAsia="Calibri" w:hAnsi="Calibri"/>
          <w:sz w:val="22"/>
          <w:szCs w:val="22"/>
        </w:rPr>
        <w:t xml:space="preserve"> OBP will comply with Automatum's reasonable written instructions relating to the Services, except where compliance would breach this Agreement, any AWS Program Term or any applicable law. OBP will notify Automatum promptly if it reasonably believes an instruction would have that effect.</w:t>
      </w:r>
    </w:p>
    <w:p>
      <w:pPr>
        <w:spacing w:after="160" w:before="0" w:line="276"/>
        <w:jc w:val="both"/>
      </w:pPr>
      <w:r>
        <w:rPr>
          <w:rFonts w:ascii="Calibri" w:cs="Calibri" w:eastAsia="Calibri" w:hAnsi="Calibri"/>
          <w:b/>
          <w:bCs/>
          <w:sz w:val="22"/>
          <w:szCs w:val="22"/>
        </w:rPr>
        <w:t xml:space="preserve">5.15 Subcontracting.</w:t>
      </w:r>
      <w:r>
        <w:rPr>
          <w:rFonts w:ascii="Calibri" w:cs="Calibri" w:eastAsia="Calibri" w:hAnsi="Calibri"/>
          <w:sz w:val="22"/>
          <w:szCs w:val="22"/>
        </w:rPr>
        <w:t xml:space="preserve"> OBP may subcontract parts of the Services only to subcontractors approved in writing by Automatum, and remains fully liable for its subcontractors' acts and omissions as if they were its own. OBP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and its seller of record registration, and will maintain the AWS Partner Network status and entitlements required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relationship with AWS in respect of the listing, the Solution and the AWS Business Outcomes Xcelerator submission, including obtaining the confirmation described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receipt of an Issuance-Ready Package or a Selling Authorization request from OBP, and in any event within the Automatum leg of the applicable service level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in accordance with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will contain, in respect of services OBP performs:</w:t>
      </w:r>
    </w:p>
    <w:p>
      <w:pPr>
        <w:spacing w:after="80" w:before="60" w:line="276"/>
        <w:ind w:left="780" w:hanging="360"/>
      </w:pPr>
      <w:r>
        <w:rPr>
          <w:rFonts w:ascii="Calibri" w:cs="Calibri" w:eastAsia="Calibri" w:hAnsi="Calibri"/>
          <w:sz w:val="22"/>
          <w:szCs w:val="22"/>
        </w:rPr>
        <w:t xml:space="preserve">a.	a service level stricter than the corresponding service level in Schedule 4;</w:t>
      </w:r>
    </w:p>
    <w:p>
      <w:pPr>
        <w:spacing w:after="80" w:before="60" w:line="276"/>
        <w:ind w:left="780" w:hanging="360"/>
      </w:pPr>
      <w:r>
        <w:rPr>
          <w:rFonts w:ascii="Calibri" w:cs="Calibri" w:eastAsia="Calibri" w:hAnsi="Calibri"/>
          <w:sz w:val="22"/>
          <w:szCs w:val="22"/>
        </w:rPr>
        <w:t xml:space="preserve">b.	a service credit percentage or at-risk amount exceeding the caps in Schedule 4;</w:t>
      </w:r>
    </w:p>
    <w:p>
      <w:pPr>
        <w:spacing w:after="80" w:before="60" w:line="276"/>
        <w:ind w:left="780" w:hanging="360"/>
      </w:pPr>
      <w:r>
        <w:rPr>
          <w:rFonts w:ascii="Calibri" w:cs="Calibri" w:eastAsia="Calibri" w:hAnsi="Calibri"/>
          <w:sz w:val="22"/>
          <w:szCs w:val="22"/>
        </w:rPr>
        <w:t xml:space="preserve">c.	a guaranteed partner number, transaction volume, revenue outcome or activation rate; or</w:t>
      </w:r>
    </w:p>
    <w:p>
      <w:pPr>
        <w:spacing w:after="80" w:before="60" w:line="276"/>
        <w:ind w:left="780" w:hanging="360"/>
      </w:pPr>
      <w:r>
        <w:rPr>
          <w:rFonts w:ascii="Calibri" w:cs="Calibri" w:eastAsia="Calibri" w:hAnsi="Calibri"/>
          <w:sz w:val="22"/>
          <w:szCs w:val="22"/>
        </w:rPr>
        <w:t xml:space="preserve">d.	a metric definition inconsistent with Schedule 4.</w:t>
      </w:r>
    </w:p>
    <w:p>
      <w:pPr>
        <w:spacing w:after="160" w:before="0" w:line="276"/>
        <w:jc w:val="both"/>
      </w:pPr>
      <w:r>
        <w:rPr>
          <w:rFonts w:ascii="Calibri" w:cs="Calibri" w:eastAsia="Calibri" w:hAnsi="Calibri"/>
          <w:sz w:val="22"/>
          <w:szCs w:val="22"/>
        </w:rPr>
        <w:t xml:space="preserve">Anything Automatum agrees with a Client beyond this baseline is Automatum's own risk, is excluded from the flow-down in clause 8.4, and does not increase OBP's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not make any representation, warranty or commitment to a Client or a prospective Client about the Services, the Solution, partner numbers, offer issuance or any metric that goes beyond Schedule 1 and Schedule 4. Automatum indemnifies OBP under clause 20.2 for claims arising from any such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Automatum's loss of its listing, seller of record position or AWS Partner Network entitlements; a Registered Client's failure to perform an obligation on which OBP's performance depends; and any matter described in clause 14.3. On a Relief Event, OBP is excused from the affected obligation and the affected service levels do not run, for so long as the Relief Event continues, and OBP Service Revenue continues to accrue. OBP will notify Automatum of a Relief Event promptly on becoming aware of it and will use reasonable efforts to mitigate its effect.</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OBP a non-exclusive, non-transferable, royalty-free licence during the Term to use the Automatum Brand solely to perform the Services in accordance with Schedule 3. OBP acquires no other rights in the Automatum Brand and all goodwill in it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OBP will perform all client-facing and partner-facing elements of the Services under the Automatum Brand, using Automatum-supplied email addresses and domains, Automatum-branded documents, portals and correspondence, and the communication protocol in Schedule 3.</w:t>
      </w:r>
    </w:p>
    <w:p>
      <w:pPr>
        <w:spacing w:after="160" w:before="0" w:line="276"/>
        <w:jc w:val="both"/>
      </w:pPr>
      <w:r>
        <w:rPr>
          <w:rFonts w:ascii="Calibri" w:cs="Calibri" w:eastAsia="Calibri" w:hAnsi="Calibri"/>
          <w:b/>
          <w:bCs/>
          <w:sz w:val="22"/>
          <w:szCs w:val="22"/>
        </w:rPr>
        <w:t xml:space="preserve">7.3 No OBP branding.</w:t>
      </w:r>
      <w:r>
        <w:rPr>
          <w:rFonts w:ascii="Calibri" w:cs="Calibri" w:eastAsia="Calibri" w:hAnsi="Calibri"/>
          <w:sz w:val="22"/>
          <w:szCs w:val="22"/>
        </w:rPr>
        <w:t xml:space="preserve"> OBP will not use its own name, logos, marks, domains, email addresses, templates or contact details in any client-facing or partner-facing material or communication, and will not identify itself to a Client or a Recruited Partner as the provider of the Services, except as clause 7.5 permits.</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OBP will not contact a Registered Client outside the channels and in the personas established under Schedule 3, and will not contact a Registered Client at all in relation to a dispute between the Parties, including any dispute about payment.</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OBP may disclose its role where disclosure is required by law, by a regulator, by an AWS Program Term, or by the terms of a Client Agreement that Automatum has notified to OBP in writing. OBP will give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OBP is the sole employer of its personnel. Automatum does not direct, supervise or control the manner in which OBP's personnel perform the Services and will not purport to do so. Notwithstanding clause 7.2, OBP's personnel will not state or imply that they are employed by Automatum; Schedule 3 states what they may and may not say about their employment. Each Party will implement the measures in Schedule 3 designed to prevent a finding of joint employment or co-employment arising from the white label arrangement.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press release, website, pitch or public statement without the other Party's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OBP's role to a Client or a Recruited Partner except as required by law, by a regulator, by an AWS Program Term or by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OBP will meet the service levels in Schedule 4 for the applicable Tier. Schedule 4 states, for each service level, what starts and stops the clock, the measurement source, and the division of the measured period between the OBP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OBP is responsible only for the OBP leg. A failure of the Automatum leg is not OBP's failure and does not give rise to a flow-down under clause 8.4. Where a root cause analysis is genuinely inconclusive as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the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OBP's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is required to give a Registered Client a Service Credit, Automatum may deduct the amount of that Service Credit from the next monthly OBP Service Revenue for that Registered Client, but only to the extent that:</w:t>
      </w:r>
    </w:p>
    <w:p>
      <w:pPr>
        <w:spacing w:after="80" w:before="60" w:line="276"/>
        <w:ind w:left="780" w:hanging="360"/>
      </w:pPr>
      <w:r>
        <w:rPr>
          <w:rFonts w:ascii="Calibri" w:cs="Calibri" w:eastAsia="Calibri" w:hAnsi="Calibri"/>
          <w:sz w:val="22"/>
          <w:szCs w:val="22"/>
        </w:rPr>
        <w:t xml:space="preserve">a.	the failure was a failure of the OBP leg and is attributable to OBP;</w:t>
      </w:r>
    </w:p>
    <w:p>
      <w:pPr>
        <w:spacing w:after="80" w:before="60" w:line="276"/>
        <w:ind w:left="780" w:hanging="360"/>
      </w:pPr>
      <w:r>
        <w:rPr>
          <w:rFonts w:ascii="Calibri" w:cs="Calibri" w:eastAsia="Calibri" w:hAnsi="Calibri"/>
          <w:sz w:val="22"/>
          <w:szCs w:val="22"/>
        </w:rPr>
        <w:t xml:space="preserve">b.	Automatum actually gave the Service Credit to the Client, and did not give it ex gratia, as a commercial concession, or in settlement of an unrelated matter, without OBP's prior written consent;</w:t>
      </w:r>
    </w:p>
    <w:p>
      <w:pPr>
        <w:spacing w:after="80" w:before="60" w:line="276"/>
        <w:ind w:left="780" w:hanging="360"/>
      </w:pPr>
      <w:r>
        <w:rPr>
          <w:rFonts w:ascii="Calibri" w:cs="Calibri" w:eastAsia="Calibri" w:hAnsi="Calibri"/>
          <w:sz w:val="22"/>
          <w:szCs w:val="22"/>
        </w:rPr>
        <w:t xml:space="preserve">c.	Automatum applied every exclusion, cap and excused event available to it under the Client Agreement; and</w:t>
      </w:r>
    </w:p>
    <w:p>
      <w:pPr>
        <w:spacing w:after="80" w:before="60" w:line="276"/>
        <w:ind w:left="780" w:hanging="360"/>
      </w:pPr>
      <w:r>
        <w:rPr>
          <w:rFonts w:ascii="Calibri" w:cs="Calibri" w:eastAsia="Calibri" w:hAnsi="Calibri"/>
          <w:sz w:val="22"/>
          <w:szCs w:val="22"/>
        </w:rPr>
        <w:t xml:space="preserve">d.	Automatum notified OBP of the Client's claim, with supporting evidence, within ten (10) Business Days of receiving it, and gave OBP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The total amount deductible under clause 8.4 is capped at:</w:t>
      </w:r>
    </w:p>
    <w:p>
      <w:pPr>
        <w:spacing w:after="80" w:before="60" w:line="276"/>
        <w:ind w:left="780" w:hanging="360"/>
      </w:pPr>
      <w:r>
        <w:rPr>
          <w:rFonts w:ascii="Calibri" w:cs="Calibri" w:eastAsia="Calibri" w:hAnsi="Calibri"/>
          <w:sz w:val="22"/>
          <w:szCs w:val="22"/>
        </w:rPr>
        <w:t xml:space="preserve">a.	per Registered Client per Engagement Month, the lower of the Service Credit actually given and ten percent (10%) of that Client's gross monthly Client Fees, rising to twenty percent (20%) in a month in which two or more service levels are missed; and</w:t>
      </w:r>
    </w:p>
    <w:p>
      <w:pPr>
        <w:spacing w:after="80" w:before="60" w:line="276"/>
        <w:ind w:left="780" w:hanging="360"/>
      </w:pPr>
      <w:r>
        <w:rPr>
          <w:rFonts w:ascii="Calibri" w:cs="Calibri" w:eastAsia="Calibri" w:hAnsi="Calibri"/>
          <w:sz w:val="22"/>
          <w:szCs w:val="22"/>
        </w:rPr>
        <w:t xml:space="preserve">b.	per Registered Client per Engagement Year, fifteen percent (15%) of the OBP Service Revenue for that Client for that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the flow-down in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three (3) failures of the same service level in any rolling three (3) Engagement Months, or six (6) failures across any service levels in an Engagement Year, in each case for the same Registered Client and attributable to OBP. On a Chronic Failure, Automatum may require: a root cause analysis within five (5) Business Days; a written remediation plan within ten (10) Business Days; replacement of the personnel named under clause 9 for that Engagement; and, if the Chronic Failure is not remedied within thirty (30) days of the remediation plan, termination of the affected Engagement Order under clause 23.4 with transition assistance at OBP's cost under clause 24.</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For each Engagement, OBP will name in the Engagement Order a Channel Manager, a Backup Channel Manager and, for a Tier 3 Engagement, a Deal Desk Owner with a stated coverage window. Each named role has the committed hours and coverage window stated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such approval not to be unreasonably withheld, conditioned or delayed, and deemed given if Automatum does not object within five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OBP will not voluntarily remove or reassign a named person for twelve (12) months or the remainder of the Engagement, whichever is shorter, except where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OBP will notify Automatum within two (2) Business Days of becoming aware that a named person will cease to perform the role. The Backup Channel Manager assumes the role immediately. OBP will propose a replacement of equivalent or greater experience within ten (10) Business Days and will provide a ten (10) Business Day handover overlap at OBP's cost. Clause 8.3 applies: service levels continue to run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OBP to remove a named person from an Engagement for material underperformance, misconduct, breach of Schedule 3, or repeated service level failures attributable to that person. Replacement is at OBP's cost. A request under this clause is a request to remove the person from the Engagement and is not a direction to dismiss or discipline; OBP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to an Engagement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OBP will not exceed the accounts-per-owner ratios in Schedule 7, which weight Engagements by Tier. Exceeding a ratio is a breach of this Agreement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OBP will maintain a documented succession plan for each named role, will cross-train the Backup Channel Manager, and will ensure that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Provision.</w:t>
      </w:r>
      <w:r>
        <w:rPr>
          <w:rFonts w:ascii="Calibri" w:cs="Calibri" w:eastAsia="Calibri" w:hAnsi="Calibri"/>
          <w:sz w:val="22"/>
          <w:szCs w:val="22"/>
        </w:rPr>
        <w:t xml:space="preserve"> OBP will provide, configure, host and operate the PSR for each Engagement in accordance with Schedule 5, within the OBP Service Revenue.</w:t>
      </w:r>
    </w:p>
    <w:p>
      <w:pPr>
        <w:spacing w:after="160" w:before="0" w:line="276"/>
        <w:jc w:val="both"/>
      </w:pPr>
      <w:r>
        <w:rPr>
          <w:rFonts w:ascii="Calibri" w:cs="Calibri" w:eastAsia="Calibri" w:hAnsi="Calibri"/>
          <w:b/>
          <w:bCs/>
          <w:sz w:val="22"/>
          <w:szCs w:val="22"/>
        </w:rPr>
        <w:t xml:space="preserve">10.2 Rights warranty.</w:t>
      </w:r>
      <w:r>
        <w:rPr>
          <w:rFonts w:ascii="Calibri" w:cs="Calibri" w:eastAsia="Calibri" w:hAnsi="Calibri"/>
          <w:sz w:val="22"/>
          <w:szCs w:val="22"/>
        </w:rPr>
        <w:t xml:space="preserve"> OBP warrants that it holds all rights necessary to provide and operate the PSR as contemplated by this Agreement, including the right to present it under the Automatum Brand and to grant the access and licences in this clause 10, and that the term of its own licence from the PSR vendor extends beyond the expiry of the longest Engagement Order then in effect plus the transition period in clause 24.</w:t>
      </w:r>
    </w:p>
    <w:p>
      <w:pPr>
        <w:spacing w:after="160" w:before="0" w:line="276"/>
        <w:jc w:val="both"/>
      </w:pPr>
      <w:r>
        <w:rPr>
          <w:rFonts w:ascii="Calibri" w:cs="Calibri" w:eastAsia="Calibri" w:hAnsi="Calibri"/>
          <w:b/>
          <w:bCs/>
          <w:sz w:val="22"/>
          <w:szCs w:val="22"/>
        </w:rPr>
        <w:t xml:space="preserve">10.3 White label configuration.</w:t>
      </w:r>
      <w:r>
        <w:rPr>
          <w:rFonts w:ascii="Calibri" w:cs="Calibri" w:eastAsia="Calibri" w:hAnsi="Calibri"/>
          <w:sz w:val="22"/>
          <w:szCs w:val="22"/>
        </w:rPr>
        <w:t xml:space="preserve"> Each Registered Client's PSR tenant will be configured under the Automatum Brand in accordance with Schedule 3, with no PSR vendor or OBP branding visible to the Client or to any Recruited Partner except where the vendor's licence terms make removal impossible, in which case OBP will notify Automatum before the tenant goes live.</w:t>
      </w:r>
    </w:p>
    <w:p>
      <w:pPr>
        <w:spacing w:after="160" w:before="0" w:line="276"/>
        <w:jc w:val="both"/>
      </w:pPr>
      <w:r>
        <w:rPr>
          <w:rFonts w:ascii="Calibri" w:cs="Calibri" w:eastAsia="Calibri" w:hAnsi="Calibri"/>
          <w:b/>
          <w:bCs/>
          <w:sz w:val="22"/>
          <w:szCs w:val="22"/>
        </w:rPr>
        <w:t xml:space="preserve">10.4 Data ownership and permitted use.</w:t>
      </w:r>
      <w:r>
        <w:rPr>
          <w:rFonts w:ascii="Calibri" w:cs="Calibri" w:eastAsia="Calibri" w:hAnsi="Calibri"/>
          <w:sz w:val="22"/>
          <w:szCs w:val="22"/>
        </w:rPr>
        <w:t xml:space="preserve"> Client Data is owned by the Registered Client to which it relates and is licensed to Automatum under the relevant Client Agreement. OBP may process Client Data only to deliver the Services for that Registered Client. OBP will not use Client Data, in identifiable or aggregated form, for benchmarking, for product development, for its own channel business, or for the benefit of any other client of OBP.</w:t>
      </w:r>
    </w:p>
    <w:p>
      <w:pPr>
        <w:spacing w:after="160" w:before="0" w:line="276"/>
        <w:jc w:val="both"/>
      </w:pPr>
      <w:r>
        <w:rPr>
          <w:rFonts w:ascii="Calibri" w:cs="Calibri" w:eastAsia="Calibri" w:hAnsi="Calibri"/>
          <w:b/>
          <w:bCs/>
          <w:sz w:val="22"/>
          <w:szCs w:val="22"/>
        </w:rPr>
        <w:t xml:space="preserve">10.5 Standing data replica.</w:t>
      </w:r>
      <w:r>
        <w:rPr>
          <w:rFonts w:ascii="Calibri" w:cs="Calibri" w:eastAsia="Calibri" w:hAnsi="Calibri"/>
          <w:sz w:val="22"/>
          <w:szCs w:val="22"/>
        </w:rPr>
        <w:t xml:space="preserve"> OBP will export Client Data to storage that Automatum controls, in the documented machine-readable schema maintained under Schedule 5, daily for transactional records and monthly as a full snapshot. The Parties will test a restore of the replica quarterly and reconcile record counts. The Parties acknowledge that source code escrow would not give Automatum an operable system, because OBP licenses rather than owns the PSR, and that the standing data replica and the vendor continuity undertaking in clause 10.8 are the primary continuity protections under this Agreement.</w:t>
      </w:r>
    </w:p>
    <w:p>
      <w:pPr>
        <w:spacing w:after="160" w:before="0" w:line="276"/>
        <w:jc w:val="both"/>
      </w:pPr>
      <w:r>
        <w:rPr>
          <w:rFonts w:ascii="Calibri" w:cs="Calibri" w:eastAsia="Calibri" w:hAnsi="Calibri"/>
          <w:b/>
          <w:bCs/>
          <w:sz w:val="22"/>
          <w:szCs w:val="22"/>
        </w:rPr>
        <w:t xml:space="preserve">10.6 Audit record integrity.</w:t>
      </w:r>
      <w:r>
        <w:rPr>
          <w:rFonts w:ascii="Calibri" w:cs="Calibri" w:eastAsia="Calibri" w:hAnsi="Calibri"/>
          <w:sz w:val="22"/>
          <w:szCs w:val="22"/>
        </w:rPr>
        <w:t xml:space="preserve"> OBP will maintain an append-only event log of the events that constitute the Offer-Issuing Partner count and each other metric in Schedule 4, will retain it for the Term plus seven (7) years, and will make it available to Automatum, to a Registered Client and to their respective auditors on reasonable notice. The retention obligation survives termination.</w:t>
      </w:r>
    </w:p>
    <w:p>
      <w:pPr>
        <w:spacing w:after="160" w:before="0" w:line="276"/>
        <w:jc w:val="both"/>
      </w:pPr>
      <w:r>
        <w:rPr>
          <w:rFonts w:ascii="Calibri" w:cs="Calibri" w:eastAsia="Calibri" w:hAnsi="Calibri"/>
          <w:b/>
          <w:bCs/>
          <w:sz w:val="22"/>
          <w:szCs w:val="22"/>
        </w:rPr>
        <w:t xml:space="preserve">10.7 Administrative access.</w:t>
      </w:r>
      <w:r>
        <w:rPr>
          <w:rFonts w:ascii="Calibri" w:cs="Calibri" w:eastAsia="Calibri" w:hAnsi="Calibri"/>
          <w:sz w:val="22"/>
          <w:szCs w:val="22"/>
        </w:rPr>
        <w:t xml:space="preserve"> Automatum will hold administrative access to each Registered Client's PSR tenant throughout the Engagement.</w:t>
      </w:r>
    </w:p>
    <w:p>
      <w:pPr>
        <w:spacing w:after="160" w:before="0" w:line="276"/>
        <w:jc w:val="both"/>
      </w:pPr>
      <w:r>
        <w:rPr>
          <w:rFonts w:ascii="Calibri" w:cs="Calibri" w:eastAsia="Calibri" w:hAnsi="Calibri"/>
          <w:b/>
          <w:bCs/>
          <w:sz w:val="22"/>
          <w:szCs w:val="22"/>
        </w:rPr>
        <w:t xml:space="preserve">10.8 Vendor continuity.</w:t>
      </w:r>
      <w:r>
        <w:rPr>
          <w:rFonts w:ascii="Calibri" w:cs="Calibri" w:eastAsia="Calibri" w:hAnsi="Calibri"/>
          <w:sz w:val="22"/>
          <w:szCs w:val="22"/>
        </w:rPr>
        <w:t xml:space="preserve"> OBP will procure from the PSR vendor, and maintain, a written undertaking in the form of Schedule 5 Part D under which, on OBP's insolvency, cessation of business, or termination of this Agreement for OBP's breach, the vendor will contract directly with Automatum or its nominee for the remainder of the affected Engagement Orders plus the transition period, at the same or benchmarked rates, with the existing tenant data intact. Procuring that undertaking is a condition to OBP's first Engagement Order. If the vendor will not give it, OBP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10.9 Step-in.</w:t>
      </w:r>
      <w:r>
        <w:rPr>
          <w:rFonts w:ascii="Calibri" w:cs="Calibri" w:eastAsia="Calibri" w:hAnsi="Calibri"/>
          <w:sz w:val="22"/>
          <w:szCs w:val="22"/>
        </w:rPr>
        <w:t xml:space="preserve"> Automatum may exercise step-in rights on a Chronic Failure, on an insolvency event affecting OBP, on a material service failure that threatens a Registered Client's service levels, or on an AWS compliance event. On exercise, OBP will grant Automatum and any nominee access, credentials and administrative rights to the PSR and a royalty-free licence to use the OBP Materials for the remainder of the affected Engagement Orders plus the transition period. Step-in does not relieve OBP of liability for any period before step-in. Automatum will step out on thirty (30) days' notice once the trigger has been remedied, on an agreed step-out plan.</w:t>
      </w:r>
    </w:p>
    <w:p>
      <w:pPr>
        <w:spacing w:after="160" w:before="0" w:line="276"/>
        <w:jc w:val="both"/>
      </w:pPr>
      <w:r>
        <w:rPr>
          <w:rFonts w:ascii="Calibri" w:cs="Calibri" w:eastAsia="Calibri" w:hAnsi="Calibri"/>
          <w:b/>
          <w:bCs/>
          <w:sz w:val="22"/>
          <w:szCs w:val="22"/>
        </w:rPr>
        <w:t xml:space="preserve">10.10 Insolvency.</w:t>
      </w:r>
      <w:r>
        <w:rPr>
          <w:rFonts w:ascii="Calibri" w:cs="Calibri" w:eastAsia="Calibri" w:hAnsi="Calibri"/>
          <w:sz w:val="22"/>
          <w:szCs w:val="22"/>
        </w:rPr>
        <w:t xml:space="preserve"> The access rights and licences granted under clauses 10.8 and 10.9 are licences of intellectual property for the purposes of section 365(n) of the United States Bankruptcy Code, and Automatum may elect to retain its rights under that section. Each Party agrees not to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Collected Client Fees.</w:t>
      </w:r>
      <w:r>
        <w:rPr>
          <w:rFonts w:ascii="Calibri" w:cs="Calibri" w:eastAsia="Calibri" w:hAnsi="Calibri"/>
          <w:sz w:val="22"/>
          <w:szCs w:val="22"/>
        </w:rPr>
        <w:t xml:space="preserve"> "Collected Client Fees" means, for a Registered Client and an Engagement Month, the Client Fees actually received by Automatum for that month, net of Taxes and of any payment processing fees, and net of any AWS Marketplace listing fee if and to the extent clause 11.10 applies.</w:t>
      </w:r>
    </w:p>
    <w:p>
      <w:pPr>
        <w:spacing w:after="160" w:before="0" w:line="276"/>
        <w:jc w:val="both"/>
      </w:pPr>
      <w:r>
        <w:rPr>
          <w:rFonts w:ascii="Calibri" w:cs="Calibri" w:eastAsia="Calibri" w:hAnsi="Calibri"/>
          <w:b/>
          <w:bCs/>
          <w:sz w:val="22"/>
          <w:szCs w:val="22"/>
        </w:rPr>
        <w:t xml:space="preserve">11.2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according to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The Platform Revenue is paid to Automatum and the whole of the Service Revenue is retained by OBP. Automatum takes no share of Service Revenue, because the Platform Revenue is revenue Automatum did not have before the Engagement.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Client already pays the Platform Revenue under its existing subscription and that subscription continues unchanged. The Service Revenue is divided seventy five percent (75%) to OBP and twenty five percent (25%) to Automatum. The Parties record that Automatum's twenty five percent is consideration for the Client relationship it brought to the Engagement, and that without it an upsell of Automatum's own subscriber base would earn Automatum nothing beyond the subscription it was already collecting.</w:t>
      </w:r>
    </w:p>
    <w:p>
      <w:pPr>
        <w:spacing w:after="160" w:before="0" w:line="276"/>
        <w:jc w:val="both"/>
      </w:pPr>
      <w:r>
        <w:rPr>
          <w:rFonts w:ascii="Calibri" w:cs="Calibri" w:eastAsia="Calibri" w:hAnsi="Calibri"/>
          <w:sz w:val="22"/>
          <w:szCs w:val="22"/>
        </w:rPr>
        <w:t xml:space="preserve">The Client Fees are the same at a given Tier whatever the Client Status, so a Client pays the same price for the Solution whether it is new to Automatum or not.</w:t>
      </w:r>
    </w:p>
    <w:p>
      <w:pPr>
        <w:spacing w:after="160" w:before="0" w:line="276"/>
        <w:jc w:val="both"/>
      </w:pPr>
      <w:r>
        <w:rPr>
          <w:rFonts w:ascii="Calibri" w:cs="Calibri" w:eastAsia="Calibri" w:hAnsi="Calibri"/>
          <w:sz w:val="22"/>
          <w:szCs w:val="22"/>
        </w:rPr>
        <w:t xml:space="preserve">Schedule 2 states the resulting figures for each Tier and each Client Status, and the rounding rule for monthly accrual.</w:t>
      </w:r>
    </w:p>
    <w:p>
      <w:pPr>
        <w:spacing w:after="160" w:before="0" w:line="276"/>
        <w:jc w:val="both"/>
      </w:pPr>
      <w:r>
        <w:rPr>
          <w:rFonts w:ascii="Calibri" w:cs="Calibri" w:eastAsia="Calibri" w:hAnsi="Calibri"/>
          <w:b/>
          <w:bCs/>
          <w:sz w:val="22"/>
          <w:szCs w:val="22"/>
        </w:rPr>
        <w:t xml:space="preserve">11.3 Accrual and no front-loading.</w:t>
      </w:r>
      <w:r>
        <w:rPr>
          <w:rFonts w:ascii="Calibri" w:cs="Calibri" w:eastAsia="Calibri" w:hAnsi="Calibri"/>
          <w:sz w:val="22"/>
          <w:szCs w:val="22"/>
        </w:rPr>
        <w:t xml:space="preserve"> Platform Revenue accrues pro rata across the twelve (12) Engagement Months of an Engagement Year at eight hundred thirty three dollars and twenty five cents ($833.25) per Engagement Month, and is not recovered from the earliest Client payments in priority to the OBP Service Revenue. Each Party's share of Service Revenue accrues monthly at one twelfth of its annual share, and OBP Service Revenue is paid under clause 11.5.</w:t>
      </w:r>
    </w:p>
    <w:p>
      <w:pPr>
        <w:spacing w:after="160" w:before="0" w:line="276"/>
        <w:jc w:val="both"/>
      </w:pPr>
      <w:r>
        <w:rPr>
          <w:rFonts w:ascii="Calibri" w:cs="Calibri" w:eastAsia="Calibri" w:hAnsi="Calibri"/>
          <w:b/>
          <w:bCs/>
          <w:sz w:val="22"/>
          <w:szCs w:val="22"/>
        </w:rPr>
        <w:t xml:space="preserve">11.4 Invoicing.</w:t>
      </w:r>
      <w:r>
        <w:rPr>
          <w:rFonts w:ascii="Calibri" w:cs="Calibri" w:eastAsia="Calibri" w:hAnsi="Calibri"/>
          <w:sz w:val="22"/>
          <w:szCs w:val="22"/>
        </w:rPr>
        <w:t xml:space="preserve"> OBP will invoice Automatum monthly in arrears for the OBP Service Revenue accrued in the preceding Engagement Month, together with any amount payable under Schedule 2 for a change in Tier.</w:t>
      </w:r>
    </w:p>
    <w:p>
      <w:pPr>
        <w:spacing w:after="160" w:before="0" w:line="276"/>
        <w:jc w:val="both"/>
      </w:pPr>
      <w:r>
        <w:rPr>
          <w:rFonts w:ascii="Calibri" w:cs="Calibri" w:eastAsia="Calibri" w:hAnsi="Calibri"/>
          <w:b/>
          <w:bCs/>
          <w:sz w:val="22"/>
          <w:szCs w:val="22"/>
        </w:rPr>
        <w:t xml:space="preserve">11.5 Payment.</w:t>
      </w:r>
      <w:r>
        <w:rPr>
          <w:rFonts w:ascii="Calibri" w:cs="Calibri" w:eastAsia="Calibri" w:hAnsi="Calibri"/>
          <w:sz w:val="22"/>
          <w:szCs w:val="22"/>
        </w:rPr>
        <w:t xml:space="preserve"> Automatum will pay each undisputed OBP invoice within ten (10) Business Days of receiving the corresponding Client payment, and in any event within sixty (60) days of the invoice date whether or not the Client has paid. The sixty (60) day longstop does not apply where the Client has entered an insolvency process, or where the Client is withholding payment because of a dispute caused by OBP's performance, in which case only the disputed portion may be withheld and only until the dispute is resolved.</w:t>
      </w:r>
    </w:p>
    <w:p>
      <w:pPr>
        <w:spacing w:after="160" w:before="0" w:line="276"/>
        <w:jc w:val="both"/>
      </w:pPr>
      <w:r>
        <w:rPr>
          <w:rFonts w:ascii="Calibri" w:cs="Calibri" w:eastAsia="Calibri" w:hAnsi="Calibri"/>
          <w:b/>
          <w:bCs/>
          <w:sz w:val="22"/>
          <w:szCs w:val="22"/>
        </w:rPr>
        <w:t xml:space="preserve">11.6 Automatum's collection obligations.</w:t>
      </w:r>
      <w:r>
        <w:rPr>
          <w:rFonts w:ascii="Calibri" w:cs="Calibri" w:eastAsia="Calibri" w:hAnsi="Calibri"/>
          <w:sz w:val="22"/>
          <w:szCs w:val="22"/>
        </w:rPr>
        <w:t xml:space="preserve"> Automatum will invoice each Registered Client within five (5) Business Days of the due date under the Client Agreement, will pursue collection diligently, and will provide OBP with a monthly statement showing, for each Registered Client, the Client Status, the Client Fees invoiced, the amounts collected, the Platform Revenue accrued, and each Party's share of Service Revenue accrued.</w:t>
      </w:r>
    </w:p>
    <w:p>
      <w:pPr>
        <w:spacing w:after="160" w:before="0" w:line="276"/>
        <w:jc w:val="both"/>
      </w:pPr>
      <w:r>
        <w:rPr>
          <w:rFonts w:ascii="Calibri" w:cs="Calibri" w:eastAsia="Calibri" w:hAnsi="Calibri"/>
          <w:b/>
          <w:bCs/>
          <w:sz w:val="22"/>
          <w:szCs w:val="22"/>
        </w:rPr>
        <w:t xml:space="preserve">11.7 No unilateral concessions.</w:t>
      </w:r>
      <w:r>
        <w:rPr>
          <w:rFonts w:ascii="Calibri" w:cs="Calibri" w:eastAsia="Calibri" w:hAnsi="Calibri"/>
          <w:sz w:val="22"/>
          <w:szCs w:val="22"/>
        </w:rPr>
        <w:t xml:space="preserve"> Automatum will not settle, waive, discount or credit any Client Fees in a way that reduces OBP Service Revenue without OBP's prior written consent. If it does, OBP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11.8 Suspension.</w:t>
      </w:r>
      <w:r>
        <w:rPr>
          <w:rFonts w:ascii="Calibri" w:cs="Calibri" w:eastAsia="Calibri" w:hAnsi="Calibri"/>
          <w:sz w:val="22"/>
          <w:szCs w:val="22"/>
        </w:rPr>
        <w:t xml:space="preserve"> OBP may not suspend any client-facing element of the Services for non-payment unless payment is more than sixty (60) days overdue and OBP has given fifteen (15) Business Days' written notice to Automatum. OBP's remedy for sustained non-payment is termination of the affected Engagement Order under clause 23.4 with transition assistance paid by Automatum. Clause 7.4 applies throughout: OBP will not contact the Registered Client about a payment dispute.</w:t>
      </w:r>
    </w:p>
    <w:p>
      <w:pPr>
        <w:spacing w:after="160" w:before="0" w:line="276"/>
        <w:jc w:val="both"/>
      </w:pPr>
      <w:r>
        <w:rPr>
          <w:rFonts w:ascii="Calibri" w:cs="Calibri" w:eastAsia="Calibri" w:hAnsi="Calibri"/>
          <w:b/>
          <w:bCs/>
          <w:sz w:val="22"/>
          <w:szCs w:val="22"/>
        </w:rPr>
        <w:t xml:space="preserve">11.9 Interest and set-off.</w:t>
      </w:r>
      <w:r>
        <w:rPr>
          <w:rFonts w:ascii="Calibri" w:cs="Calibri" w:eastAsia="Calibri" w:hAnsi="Calibri"/>
          <w:sz w:val="22"/>
          <w:szCs w:val="22"/>
        </w:rPr>
        <w:t xml:space="preserve"> Interest accrues on overdue undisputed amounts at one and one-half percent (1.5%) per month or the maximum rate permitted by law, whichever is lower. Neither Party may set off against amounts due except for sums that are liquidated, undisputed and due.</w:t>
      </w:r>
    </w:p>
    <w:p>
      <w:pPr>
        <w:spacing w:after="160" w:before="0" w:line="276"/>
        <w:jc w:val="both"/>
      </w:pPr>
      <w:r>
        <w:rPr>
          <w:rFonts w:ascii="Calibri" w:cs="Calibri" w:eastAsia="Calibri" w:hAnsi="Calibri"/>
          <w:b/>
          <w:bCs/>
          <w:sz w:val="22"/>
          <w:szCs w:val="22"/>
        </w:rPr>
        <w:t xml:space="preserve">11.10 Marketplace transaction of engagement fees.</w:t>
      </w:r>
      <w:r>
        <w:rPr>
          <w:rFonts w:ascii="Calibri" w:cs="Calibri" w:eastAsia="Calibri" w:hAnsi="Calibri"/>
          <w:sz w:val="22"/>
          <w:szCs w:val="22"/>
        </w:rPr>
        <w:t xml:space="preserve"> The Parties record that the engagement fees are invoiced by Automatum directly to each Client and are not transacted through AWS Marketplace, so no AWS Marketplace listing fee applies to them, and that the figures in Schedule 2 depend on that being so. If the Parties later agree to transact engagement fees through AWS Marketplace, the allocation of the resulting listing fee is a change requiring agreement under clause 14.5 before that arrangement begins.</w:t>
      </w:r>
    </w:p>
    <w:p>
      <w:pPr>
        <w:spacing w:after="160" w:before="0" w:line="276"/>
        <w:jc w:val="both"/>
      </w:pPr>
      <w:r>
        <w:rPr>
          <w:rFonts w:ascii="Calibri" w:cs="Calibri" w:eastAsia="Calibri" w:hAnsi="Calibri"/>
          <w:b/>
          <w:bCs/>
          <w:sz w:val="22"/>
          <w:szCs w:val="22"/>
        </w:rPr>
        <w:t xml:space="preserve">11.11 Taxes.</w:t>
      </w:r>
      <w:r>
        <w:rPr>
          <w:rFonts w:ascii="Calibri" w:cs="Calibri" w:eastAsia="Calibri" w:hAnsi="Calibri"/>
          <w:sz w:val="22"/>
          <w:szCs w:val="22"/>
        </w:rPr>
        <w:t xml:space="preserve"> Each Party is responsible for its own taxes on its own income. Amounts payable under this Agreement are exclusive of Taxes, which Automatum will pay in addition where properly chargeable. If any withholding is required by law, the payer will gross up so that the payee receives the amount it would have received absent the withholding.</w:t>
      </w:r>
    </w:p>
    <w:p>
      <w:pPr>
        <w:spacing w:after="160" w:before="0" w:line="276"/>
        <w:jc w:val="both"/>
      </w:pPr>
      <w:r>
        <w:rPr>
          <w:rFonts w:ascii="Calibri" w:cs="Calibri" w:eastAsia="Calibri" w:hAnsi="Calibri"/>
          <w:b/>
          <w:bCs/>
          <w:sz w:val="22"/>
          <w:szCs w:val="22"/>
        </w:rPr>
        <w:t xml:space="preserve">11.12 Audit of billing.</w:t>
      </w:r>
      <w:r>
        <w:rPr>
          <w:rFonts w:ascii="Calibri" w:cs="Calibri" w:eastAsia="Calibri" w:hAnsi="Calibri"/>
          <w:sz w:val="22"/>
          <w:szCs w:val="22"/>
        </w:rPr>
        <w:t xml:space="preserve"> Once per calendar year, OBP may audit Automatum's records relating to Client Fees invoiced and collected for Registered Clients, on thirty (30) days' notice, during business hours, at OBP's cost. If the audit shows an understatement of OBP Service Revenue exceeding five percent (5%) for the period audited, Automatum will bear the cost of the audit and pay the shortfall with interest under clause 11.9.</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OBP will deliver the monthly reporting pack under clause 5.12. The headline metric is the number of Offer-Issuing Partners, or the fallback metric where clause 14.2 applies, in each case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OBP will reconcile the PSR against AWS Marketplace seller reporting monthly and will report any discrepancy with the reconciliation.</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fifteen (15) Business Days of receiving the report. The Parties will resolve the dispute by reference to the event log under clause 10.6.</w:t>
      </w:r>
    </w:p>
    <w:p>
      <w:pPr>
        <w:spacing w:after="160" w:before="0" w:line="276"/>
        <w:jc w:val="both"/>
      </w:pPr>
      <w:r>
        <w:rPr>
          <w:rFonts w:ascii="Calibri" w:cs="Calibri" w:eastAsia="Calibri" w:hAnsi="Calibri"/>
          <w:b/>
          <w:bCs/>
          <w:sz w:val="22"/>
          <w:szCs w:val="22"/>
        </w:rPr>
        <w:t xml:space="preserve">12.4 Records.</w:t>
      </w:r>
      <w:r>
        <w:rPr>
          <w:rFonts w:ascii="Calibri" w:cs="Calibri" w:eastAsia="Calibri" w:hAnsi="Calibri"/>
          <w:sz w:val="22"/>
          <w:szCs w:val="22"/>
        </w:rPr>
        <w:t xml:space="preserve"> Each Party will keep accurate records relating to its performance for the Term plus three (3) years, and clause 10.6 applies to the event log.</w:t>
      </w:r>
    </w:p>
    <w:p>
      <w:pPr>
        <w:spacing w:after="160" w:before="0" w:line="276"/>
        <w:jc w:val="both"/>
      </w:pPr>
      <w:r>
        <w:rPr>
          <w:rFonts w:ascii="Calibri" w:cs="Calibri" w:eastAsia="Calibri" w:hAnsi="Calibri"/>
          <w:b/>
          <w:bCs/>
          <w:sz w:val="22"/>
          <w:szCs w:val="22"/>
        </w:rPr>
        <w:t xml:space="preserve">12.5 Audit.</w:t>
      </w:r>
      <w:r>
        <w:rPr>
          <w:rFonts w:ascii="Calibri" w:cs="Calibri" w:eastAsia="Calibri" w:hAnsi="Calibri"/>
          <w:sz w:val="22"/>
          <w:szCs w:val="22"/>
        </w:rPr>
        <w:t xml:space="preserve"> Automatum may audit OBP's compliance with this Agreement once per calendar year on thirty (30) days' notice, during business hours, at Automatum's cost, and more frequently following a Chronic Failure or a security incident. Audits will not require disclosure of another OBP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in connection with the Solution, and will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 Neither Party will make any commitment on AWS's behalf.</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or in the feasibility study referred to in Recital C is a commitment by AWS, including the reference in that study to ACE opportunity submissions, which Schedule 8 records as a programme assumption only.</w:t>
      </w:r>
    </w:p>
    <w:p>
      <w:pPr>
        <w:spacing w:after="160" w:before="0" w:line="276"/>
        <w:jc w:val="both"/>
      </w:pPr>
      <w:r>
        <w:rPr>
          <w:rFonts w:ascii="Calibri" w:cs="Calibri" w:eastAsia="Calibri" w:hAnsi="Calibri"/>
          <w:b/>
          <w:bCs/>
          <w:sz w:val="22"/>
          <w:szCs w:val="22"/>
        </w:rPr>
        <w:t xml:space="preserve">13.4 Solution identifier.</w:t>
      </w:r>
      <w:r>
        <w:rPr>
          <w:rFonts w:ascii="Calibri" w:cs="Calibri" w:eastAsia="Calibri" w:hAnsi="Calibri"/>
          <w:sz w:val="22"/>
          <w:szCs w:val="22"/>
        </w:rPr>
        <w:t xml:space="preserve"> Opportunities for the Solution will be mapped to the single solution identifier stated in Schedule 8.</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5.11 governs the account under which OBP files.</w:t>
      </w:r>
    </w:p>
    <w:p>
      <w:pPr>
        <w:spacing w:after="160" w:before="0" w:line="276"/>
        <w:jc w:val="both"/>
      </w:pPr>
      <w:r>
        <w:rPr>
          <w:rFonts w:ascii="Calibri" w:cs="Calibri" w:eastAsia="Calibri" w:hAnsi="Calibri"/>
          <w:b/>
          <w:bCs/>
          <w:sz w:val="22"/>
          <w:szCs w:val="22"/>
        </w:rPr>
        <w:t xml:space="preserve">13.6 Overlapping offerings.</w:t>
      </w:r>
      <w:r>
        <w:rPr>
          <w:rFonts w:ascii="Calibri" w:cs="Calibri" w:eastAsia="Calibri" w:hAnsi="Calibri"/>
          <w:sz w:val="22"/>
          <w:szCs w:val="22"/>
        </w:rPr>
        <w:t xml:space="preserve"> Where an opportunity falls within both the Solution and another offering of either Party, the Parties will attribute it to a single solution identifier, applying the higher-tier offering's commitment structure, so that no opportunity is billed twice. Schedule 8 records the worked basis on which this rule operates and the tie-break where tiers are equal.</w:t>
      </w:r>
    </w:p>
    <w:p>
      <w:pPr>
        <w:spacing w:after="160" w:before="0" w:line="276"/>
        <w:jc w:val="both"/>
      </w:pPr>
      <w:r>
        <w:rPr>
          <w:rFonts w:ascii="Calibri" w:cs="Calibri" w:eastAsia="Calibri" w:hAnsi="Calibri"/>
          <w:b/>
          <w:bCs/>
          <w:sz w:val="22"/>
          <w:szCs w:val="22"/>
        </w:rPr>
        <w:t xml:space="preserve">13.7 AWS programme change.</w:t>
      </w:r>
      <w:r>
        <w:rPr>
          <w:rFonts w:ascii="Calibri" w:cs="Calibri" w:eastAsia="Calibri" w:hAnsi="Calibri"/>
          <w:sz w:val="22"/>
          <w:szCs w:val="22"/>
        </w:rPr>
        <w:t xml:space="preserve"> If AWS changes an AWS Program Term, a Marketplace mechanism or a programme rule so that a commitment in Schedule 1 or Schedule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recorded in Schedule 8. An assumption proving incorrect is not a breach by either Party, and the consequence is as stated in Schedule 8 or in this clause 14.</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The Parties record that it is not yet confirmed whether, and by what mechanism, a third-party reseller can issue offers against Automatum's listing while Automatum is seller of record, and that the Offer-Issuing Partner metric depends on it.</w:t>
      </w:r>
    </w:p>
    <w:p>
      <w:pPr>
        <w:spacing w:after="80" w:before="60" w:line="276"/>
        <w:ind w:left="780" w:hanging="360"/>
      </w:pPr>
      <w:r>
        <w:rPr>
          <w:rFonts w:ascii="Calibri" w:cs="Calibri" w:eastAsia="Calibri" w:hAnsi="Calibri"/>
          <w:sz w:val="22"/>
          <w:szCs w:val="22"/>
        </w:rPr>
        <w:t xml:space="preserve">a.	Automatum owns obtaining AWS's confirmation, and will use reasonable efforts to obtain a written answer by the longstop date stated in Schedule 8.</w:t>
      </w:r>
    </w:p>
    <w:p>
      <w:pPr>
        <w:spacing w:after="80" w:before="60" w:line="276"/>
        <w:ind w:left="780" w:hanging="360"/>
      </w:pPr>
      <w:r>
        <w:rPr>
          <w:rFonts w:ascii="Calibri" w:cs="Calibri" w:eastAsia="Calibri" w:hAnsi="Calibri"/>
          <w:sz w:val="22"/>
          <w:szCs w:val="22"/>
        </w:rPr>
        <w:t xml:space="preserve">b.	If the mechanism is confirmed as available by the longstop date, the primary metric in Schedule 4 applies.</w:t>
      </w:r>
    </w:p>
    <w:p>
      <w:pPr>
        <w:spacing w:after="80" w:before="60" w:line="276"/>
        <w:ind w:left="780" w:hanging="360"/>
      </w:pPr>
      <w:r>
        <w:rPr>
          <w:rFonts w:ascii="Calibri" w:cs="Calibri" w:eastAsia="Calibri" w:hAnsi="Calibri"/>
          <w:sz w:val="22"/>
          <w:szCs w:val="22"/>
        </w:rPr>
        <w:t xml:space="preserve">c.	If it is not confirmed as available by the longstop date, the fallback metric in Schedule 4 applies automatically from the next Engagement Month, without further agreement, and neither Party is in breach and neither Party is liable to the other.</w:t>
      </w:r>
    </w:p>
    <w:p>
      <w:pPr>
        <w:spacing w:after="80" w:before="60" w:line="276"/>
        <w:ind w:left="780" w:hanging="360"/>
      </w:pPr>
      <w:r>
        <w:rPr>
          <w:rFonts w:ascii="Calibri" w:cs="Calibri" w:eastAsia="Calibri" w:hAnsi="Calibri"/>
          <w:sz w:val="22"/>
          <w:szCs w:val="22"/>
        </w:rPr>
        <w:t xml:space="preserve">d.	Neither Party warrants the outcome of this dependency.</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If clause 13.7 applies, the affected obligation is suspended, the Parties will meet within ten (10) Business Days to agree a change under clause 14.5, and if they have not agreed within thirty (30) days either Party may terminate the affected Engagement Order on thirty (30) days' notice with Client Fees pro-rated to the termination date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described in Schedule 8 has been completed and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when recorded in a change order signed by both Parties, stating the change, its effect on the Services and its effect on the OBP Service Revenue. Neither Party is obliged to agree a change. Work outside the Services is chargeable at the rate card in Schedule 2.</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Parties record that the appointment is non-exclusive, and that this clause 15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twenty four (24) months after the later of expiry and termination of the relevant Engagement Order, OBP will not, directly or indirectly:</w:t>
      </w:r>
    </w:p>
    <w:p>
      <w:pPr>
        <w:spacing w:after="80" w:before="60" w:line="276"/>
        <w:ind w:left="780" w:hanging="360"/>
      </w:pPr>
      <w:r>
        <w:rPr>
          <w:rFonts w:ascii="Calibri" w:cs="Calibri" w:eastAsia="Calibri" w:hAnsi="Calibri"/>
          <w:sz w:val="22"/>
          <w:szCs w:val="22"/>
        </w:rPr>
        <w:t xml:space="preserve">a.	solicit, accept or provide channel services of the kind comprised in the Services to a Registered Client or its affiliates;</w:t>
      </w:r>
    </w:p>
    <w:p>
      <w:pPr>
        <w:spacing w:after="80" w:before="60" w:line="276"/>
        <w:ind w:left="780" w:hanging="360"/>
      </w:pPr>
      <w:r>
        <w:rPr>
          <w:rFonts w:ascii="Calibri" w:cs="Calibri" w:eastAsia="Calibri" w:hAnsi="Calibri"/>
          <w:sz w:val="22"/>
          <w:szCs w:val="22"/>
        </w:rPr>
        <w:t xml:space="preserve">b.	assist any third party to do so; or</w:t>
      </w:r>
    </w:p>
    <w:p>
      <w:pPr>
        <w:spacing w:after="80" w:before="60" w:line="276"/>
        <w:ind w:left="780" w:hanging="360"/>
      </w:pPr>
      <w:r>
        <w:rPr>
          <w:rFonts w:ascii="Calibri" w:cs="Calibri" w:eastAsia="Calibri" w:hAnsi="Calibri"/>
          <w:sz w:val="22"/>
          <w:szCs w:val="22"/>
        </w:rPr>
        <w:t xml:space="preserve">c.	introduce a Registered Client to any other AWS Marketplace seller of record or prime provider for the purpose of that Client procuring services of the kind comprised in the Services.</w:t>
      </w:r>
    </w:p>
    <w:p>
      <w:pPr>
        <w:spacing w:after="160" w:before="0" w:line="276"/>
        <w:jc w:val="both"/>
      </w:pPr>
      <w:r>
        <w:rPr>
          <w:rFonts w:ascii="Calibri" w:cs="Calibri" w:eastAsia="Calibri" w:hAnsi="Calibri"/>
          <w:sz w:val="22"/>
          <w:szCs w:val="22"/>
        </w:rPr>
        <w:t xml:space="preserve">This clause does not apply to a Prior Relationship notified and evidenced under clause 4.4, to general marketing not targeted at Registered Clients, or to an approach initiated by the Registered Client where OBP declines it and notifies Automatum within five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Parties acknowledge that the population of AWS resellers is finite, that a reseller typically carries many vendor lines, and that a general restriction on OBP working with firms it has recruited would be unreasonable and would not protect a legitimate interest. Accordingly, OBP may work with any Recruited Partner on other engagements, provided that during the Term and for twelve (12) months afterwards OBP will not:</w:t>
      </w:r>
    </w:p>
    <w:p>
      <w:pPr>
        <w:spacing w:after="80" w:before="60" w:line="276"/>
        <w:ind w:left="780" w:hanging="360"/>
      </w:pPr>
      <w:r>
        <w:rPr>
          <w:rFonts w:ascii="Calibri" w:cs="Calibri" w:eastAsia="Calibri" w:hAnsi="Calibri"/>
          <w:sz w:val="22"/>
          <w:szCs w:val="22"/>
        </w:rPr>
        <w:t xml:space="preserve">a.	use Client Data to solicit any partner away from a Registered Client's channel;</w:t>
      </w:r>
    </w:p>
    <w:p>
      <w:pPr>
        <w:spacing w:after="80" w:before="60" w:line="276"/>
        <w:ind w:left="780" w:hanging="360"/>
      </w:pPr>
      <w:r>
        <w:rPr>
          <w:rFonts w:ascii="Calibri" w:cs="Calibri" w:eastAsia="Calibri" w:hAnsi="Calibri"/>
          <w:sz w:val="22"/>
          <w:szCs w:val="22"/>
        </w:rPr>
        <w:t xml:space="preserve">b.	procure or encourage a Recruited Partner to terminate or breach its agreement relating to a Registered Client's channel; or</w:t>
      </w:r>
    </w:p>
    <w:p>
      <w:pPr>
        <w:spacing w:after="80" w:before="60" w:line="276"/>
        <w:ind w:left="780" w:hanging="360"/>
      </w:pPr>
      <w:r>
        <w:rPr>
          <w:rFonts w:ascii="Calibri" w:cs="Calibri" w:eastAsia="Calibri" w:hAnsi="Calibri"/>
          <w:sz w:val="22"/>
          <w:szCs w:val="22"/>
        </w:rPr>
        <w:t xml:space="preserve">c.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Registry tail.</w:t>
      </w:r>
      <w:r>
        <w:rPr>
          <w:rFonts w:ascii="Calibri" w:cs="Calibri" w:eastAsia="Calibri" w:hAnsi="Calibri"/>
          <w:sz w:val="22"/>
          <w:szCs w:val="22"/>
        </w:rPr>
        <w:t xml:space="preserve"> For the purposes of clause 4.6, the tail period is the period in clause 15.2.</w:t>
      </w:r>
    </w:p>
    <w:p>
      <w:pPr>
        <w:spacing w:after="160" w:before="0" w:line="276"/>
        <w:jc w:val="both"/>
      </w:pPr>
      <w:r>
        <w:rPr>
          <w:rFonts w:ascii="Calibri" w:cs="Calibri" w:eastAsia="Calibri" w:hAnsi="Calibri"/>
          <w:b/>
          <w:bCs/>
          <w:sz w:val="22"/>
          <w:szCs w:val="22"/>
        </w:rPr>
        <w:t xml:space="preserve">15.5 Automatum's covenant.</w:t>
      </w:r>
      <w:r>
        <w:rPr>
          <w:rFonts w:ascii="Calibri" w:cs="Calibri" w:eastAsia="Calibri" w:hAnsi="Calibri"/>
          <w:sz w:val="22"/>
          <w:szCs w:val="22"/>
        </w:rPr>
        <w:t xml:space="preserve"> During the Term and for twelve (12) months after the later of expiry and termination of the relevant Engagement Order, Automatum will not provide services of the kind comprised in the Services to a Registered Client using OBP Materials outside the licence in clause 16.4, or using personnel recruited from OBP in breach of clause 15.6.</w:t>
      </w:r>
    </w:p>
    <w:p>
      <w:pPr>
        <w:spacing w:after="160" w:before="0" w:line="276"/>
        <w:jc w:val="both"/>
      </w:pPr>
      <w:r>
        <w:rPr>
          <w:rFonts w:ascii="Calibri" w:cs="Calibri" w:eastAsia="Calibri" w:hAnsi="Calibri"/>
          <w:b/>
          <w:bCs/>
          <w:sz w:val="22"/>
          <w:szCs w:val="22"/>
        </w:rPr>
        <w:t xml:space="preserve">15.6 Personnel.</w:t>
      </w:r>
      <w:r>
        <w:rPr>
          <w:rFonts w:ascii="Calibri" w:cs="Calibri" w:eastAsia="Calibri" w:hAnsi="Calibri"/>
          <w:sz w:val="22"/>
          <w:szCs w:val="22"/>
        </w:rPr>
        <w:t xml:space="preserve"> During the Term and for twelve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 Party's personnel, responses to unsolicited applications, or the engagement of a person who ceased to be engaged by the other Party more than six (6) months earlier. A Party breaching this clause will pay the other thirty percent (30%) of the person's first year total compensation.</w:t>
      </w:r>
    </w:p>
    <w:p>
      <w:pPr>
        <w:spacing w:after="160" w:before="0" w:line="276"/>
        <w:jc w:val="both"/>
      </w:pPr>
      <w:r>
        <w:rPr>
          <w:rFonts w:ascii="Calibri" w:cs="Calibri" w:eastAsia="Calibri" w:hAnsi="Calibri"/>
          <w:b/>
          <w:bCs/>
          <w:sz w:val="22"/>
          <w:szCs w:val="22"/>
        </w:rPr>
        <w:t xml:space="preserve">15.7 Liquidated damages for circumvention.</w:t>
      </w:r>
      <w:r>
        <w:rPr>
          <w:rFonts w:ascii="Calibri" w:cs="Calibri" w:eastAsia="Calibri" w:hAnsi="Calibri"/>
          <w:sz w:val="22"/>
          <w:szCs w:val="22"/>
        </w:rPr>
        <w:t xml:space="preserve"> If OBP breaches clause 15.2 in respect of a Registered Client, OBP will pay Automatum thirty five thousand dollars ($35,000) for that Client. The Parties agree that Automatum's loss in that event is the loss of its Automatum Retention stream and the cost of re-sourcing delivery, that this amount is a reasonable estimate of that loss made at the time of contracting, and that the actual loss would be difficult to determine. The amount is not a penalty and is not measured against the gross Client Fees, which are not Automatum's loss.</w:t>
      </w:r>
    </w:p>
    <w:p>
      <w:pPr>
        <w:spacing w:after="160" w:before="0" w:line="276"/>
        <w:jc w:val="both"/>
      </w:pPr>
      <w:r>
        <w:rPr>
          <w:rFonts w:ascii="Calibri" w:cs="Calibri" w:eastAsia="Calibri" w:hAnsi="Calibri"/>
          <w:b/>
          <w:bCs/>
          <w:sz w:val="22"/>
          <w:szCs w:val="22"/>
        </w:rPr>
        <w:t xml:space="preserve">15.8 Injunctive relief.</w:t>
      </w:r>
      <w:r>
        <w:rPr>
          <w:rFonts w:ascii="Calibri" w:cs="Calibri" w:eastAsia="Calibri" w:hAnsi="Calibri"/>
          <w:sz w:val="22"/>
          <w:szCs w:val="22"/>
        </w:rPr>
        <w:t xml:space="preserve"> Each Party acknowledges that damages alone may not be an adequate remedy for breach of this clause 15 or of clause 17, and that the other Party may seek injunctive relief without proving actual damage and without posting a bond.</w:t>
      </w:r>
    </w:p>
    <w:p>
      <w:pPr>
        <w:spacing w:after="160" w:before="0" w:line="276"/>
        <w:jc w:val="both"/>
      </w:pPr>
      <w:r>
        <w:rPr>
          <w:rFonts w:ascii="Calibri" w:cs="Calibri" w:eastAsia="Calibri" w:hAnsi="Calibri"/>
          <w:b/>
          <w:bCs/>
          <w:sz w:val="22"/>
          <w:szCs w:val="22"/>
        </w:rPr>
        <w:t xml:space="preserve">15.9 Reasonableness.</w:t>
      </w:r>
      <w:r>
        <w:rPr>
          <w:rFonts w:ascii="Calibri" w:cs="Calibri" w:eastAsia="Calibri" w:hAnsi="Calibri"/>
          <w:sz w:val="22"/>
          <w:szCs w:val="22"/>
        </w:rPr>
        <w:t xml:space="preserve"> The Parties have negotiated this clause 15 as sophisticated commercial parties with the benefit of advice. If a court finds any restriction unreasonable in duration, scope or geography, the restriction applies with the minimum modification necessary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w:t>
      </w:r>
    </w:p>
    <w:p>
      <w:pPr>
        <w:spacing w:after="160" w:before="0" w:line="276"/>
        <w:jc w:val="both"/>
      </w:pPr>
      <w:r>
        <w:rPr>
          <w:rFonts w:ascii="Calibri" w:cs="Calibri" w:eastAsia="Calibri" w:hAnsi="Calibri"/>
          <w:b/>
          <w:bCs/>
          <w:sz w:val="22"/>
          <w:szCs w:val="22"/>
        </w:rPr>
        <w:t xml:space="preserve">16.2 OBP Materials.</w:t>
      </w:r>
      <w:r>
        <w:rPr>
          <w:rFonts w:ascii="Calibri" w:cs="Calibri" w:eastAsia="Calibri" w:hAnsi="Calibri"/>
          <w:sz w:val="22"/>
          <w:szCs w:val="22"/>
        </w:rPr>
        <w:t xml:space="preserve"> OBP retains all rights in the OBP Materials, including the PSR, its methodologies, playbooks, templates and training content. Nothing in this Agreement transfers ownership of the OBP Materials.</w:t>
      </w:r>
    </w:p>
    <w:p>
      <w:pPr>
        <w:spacing w:after="160" w:before="0" w:line="276"/>
        <w:jc w:val="both"/>
      </w:pPr>
      <w:r>
        <w:rPr>
          <w:rFonts w:ascii="Calibri" w:cs="Calibri" w:eastAsia="Calibri" w:hAnsi="Calibri"/>
          <w:b/>
          <w:bCs/>
          <w:sz w:val="22"/>
          <w:szCs w:val="22"/>
        </w:rPr>
        <w:t xml:space="preserve">16.3 Automatum Brand.</w:t>
      </w:r>
      <w:r>
        <w:rPr>
          <w:rFonts w:ascii="Calibri" w:cs="Calibri" w:eastAsia="Calibri" w:hAnsi="Calibri"/>
          <w:sz w:val="22"/>
          <w:szCs w:val="22"/>
        </w:rPr>
        <w:t xml:space="preserve"> Automatum retains all rights in the Automatum Brand. Clause 7.1 governs OBP's use of it.</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OBP grants Automatum a perpetual, irrevocable, non-exclusive, worldwide, royalty-free, sublicensable licence to use, copy, modify and distribute the client-facing deliverables produced for a Registered Client under an Engagement Order, including that Client's partner agreements, margin schedule, enablement content, playbooks and reports, for that Client's own channel and for Automatum's performance of the relevant Client Agreement. This licence survives termination of this Agreement so that no Registered Client is left without the materials its channel runs on.</w:t>
      </w:r>
    </w:p>
    <w:p>
      <w:pPr>
        <w:spacing w:after="160" w:before="0" w:line="276"/>
        <w:jc w:val="both"/>
      </w:pPr>
      <w:r>
        <w:rPr>
          <w:rFonts w:ascii="Calibri" w:cs="Calibri" w:eastAsia="Calibri" w:hAnsi="Calibri"/>
          <w:b/>
          <w:bCs/>
          <w:sz w:val="22"/>
          <w:szCs w:val="22"/>
        </w:rPr>
        <w:t xml:space="preserve">16.5 Client Data.</w:t>
      </w:r>
      <w:r>
        <w:rPr>
          <w:rFonts w:ascii="Calibri" w:cs="Calibri" w:eastAsia="Calibri" w:hAnsi="Calibri"/>
          <w:sz w:val="22"/>
          <w:szCs w:val="22"/>
        </w:rPr>
        <w:t xml:space="preserve"> Clause 10.4 governs Client Data.</w:t>
      </w:r>
    </w:p>
    <w:p>
      <w:pPr>
        <w:spacing w:after="160" w:before="0" w:line="276"/>
        <w:jc w:val="both"/>
      </w:pPr>
      <w:r>
        <w:rPr>
          <w:rFonts w:ascii="Calibri" w:cs="Calibri" w:eastAsia="Calibri" w:hAnsi="Calibri"/>
          <w:b/>
          <w:bCs/>
          <w:sz w:val="22"/>
          <w:szCs w:val="22"/>
        </w:rPr>
        <w:t xml:space="preserve">16.6 Feedback.</w:t>
      </w:r>
      <w:r>
        <w:rPr>
          <w:rFonts w:ascii="Calibri" w:cs="Calibri" w:eastAsia="Calibri" w:hAnsi="Calibri"/>
          <w:sz w:val="22"/>
          <w:szCs w:val="22"/>
        </w:rPr>
        <w:t xml:space="preserve"> Each Party may use without restriction any suggestion or feedback the other gives about its products or services, without obligation.</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"Confidential Information" means non-public information disclosed by or on behalf of a Party that is identified as confidential or that a reasonable person would understand to be confidential. The Client Registry, the roster of Recruited Partners, the Client Data, the terms of this Agreement and each Engagement Order, and the existence and nature of OBP's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Confidential Information confidential, use it only to perform or enforce this Agreement, protect it with at least reasonable care, and disclose it only to its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 obligations do not apply to information that is or becomes public without breach, was lawfully known to the receiving Party without obligation before disclosure, is lawfully received from a third party without obligation, or is independently developed without use of the Confidential Information.</w:t>
      </w:r>
    </w:p>
    <w:p>
      <w:pPr>
        <w:spacing w:after="160" w:before="0" w:line="276"/>
        <w:jc w:val="both"/>
      </w:pPr>
      <w:r>
        <w:rPr>
          <w:rFonts w:ascii="Calibri" w:cs="Calibri" w:eastAsia="Calibri" w:hAnsi="Calibri"/>
          <w:b/>
          <w:bCs/>
          <w:sz w:val="22"/>
          <w:szCs w:val="22"/>
        </w:rPr>
        <w:t xml:space="preserve">17.4 Compelled disclosure.</w:t>
      </w:r>
      <w:r>
        <w:rPr>
          <w:rFonts w:ascii="Calibri" w:cs="Calibri" w:eastAsia="Calibri" w:hAnsi="Calibri"/>
          <w:sz w:val="22"/>
          <w:szCs w:val="22"/>
        </w:rPr>
        <w:t xml:space="preserve"> A Party may disclose Confidential Information to the extent required by law, regulation or court order, giving the other Party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17.5 Duration.</w:t>
      </w:r>
      <w:r>
        <w:rPr>
          <w:rFonts w:ascii="Calibri" w:cs="Calibri" w:eastAsia="Calibri" w:hAnsi="Calibri"/>
          <w:sz w:val="22"/>
          <w:szCs w:val="22"/>
        </w:rPr>
        <w:t xml:space="preserve"> These obligations continue for five (5) years after termination, and indefinitely for Client Data, Personal Data and trade secrets for so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In respect of Personal Data in the Client Data, the Registered Client is the controller, Automatum acts on the Client's instructions, and OBP acts as a processor on Automatum's documented instructions. Schedule 5 Part C states the subject matter, duration, nature and purpose of the processing, the types of Personal Data and the categories of data subject.</w:t>
      </w:r>
    </w:p>
    <w:p>
      <w:pPr>
        <w:spacing w:after="160" w:before="0" w:line="276"/>
        <w:jc w:val="both"/>
      </w:pPr>
      <w:r>
        <w:rPr>
          <w:rFonts w:ascii="Calibri" w:cs="Calibri" w:eastAsia="Calibri" w:hAnsi="Calibri"/>
          <w:b/>
          <w:bCs/>
          <w:sz w:val="22"/>
          <w:szCs w:val="22"/>
        </w:rPr>
        <w:t xml:space="preserve">18.2 OBP's obligations.</w:t>
      </w:r>
      <w:r>
        <w:rPr>
          <w:rFonts w:ascii="Calibri" w:cs="Calibri" w:eastAsia="Calibri" w:hAnsi="Calibri"/>
          <w:sz w:val="22"/>
          <w:szCs w:val="22"/>
        </w:rPr>
        <w:t xml:space="preserve"> OBP will process Personal Data only on Automatum's documented instructions; ensure persons authorized to process it are bound by confidentiality; implement the technical and organizational security measures in Schedule 5 Part C;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OBP may engage subprocessors only from the list in Schedule 5 Part C or with Automatum's prior written consent, will impose equivalent obligations on them, and remains liable for their acts and omissions. OBP will give Automatum thirty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OBP will notify Automatum without undue delay and in any event within twenty four (24) hours of becoming aware of a security incident affecting Client Data or Personal Data, and will provide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If a Privacy Law requires a further data processing agreement or transfer mechanism, the Parties will execute it promptly.</w:t>
      </w:r>
    </w:p>
    <w:p>
      <w:pPr>
        <w:spacing w:after="160" w:before="0" w:line="276"/>
        <w:jc w:val="both"/>
      </w:pPr>
      <w:r>
        <w:rPr>
          <w:rFonts w:ascii="Calibri" w:cs="Calibri" w:eastAsia="Calibri" w:hAnsi="Calibri"/>
          <w:b/>
          <w:bCs/>
          <w:sz w:val="22"/>
          <w:szCs w:val="22"/>
        </w:rPr>
        <w:t xml:space="preserve">18.6 Security measures.</w:t>
      </w:r>
      <w:r>
        <w:rPr>
          <w:rFonts w:ascii="Calibri" w:cs="Calibri" w:eastAsia="Calibri" w:hAnsi="Calibri"/>
          <w:sz w:val="22"/>
          <w:szCs w:val="22"/>
        </w:rPr>
        <w:t xml:space="preserve"> OBP will maintain the security controls in Schedule 5 Part C, including access control, encryption in transit and at rest, logging, vulnerability management and personnel screening, and will not materially reduce them during the Term.</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that it has full power and authority to enter into and perform this Agreement, and that this Agreement is a legal, valid and binding obligation enforceable against it.</w:t>
      </w:r>
    </w:p>
    <w:p>
      <w:pPr>
        <w:spacing w:after="160" w:before="0" w:line="276"/>
        <w:jc w:val="both"/>
      </w:pPr>
      <w:r>
        <w:rPr>
          <w:rFonts w:ascii="Calibri" w:cs="Calibri" w:eastAsia="Calibri" w:hAnsi="Calibri"/>
          <w:b/>
          <w:bCs/>
          <w:sz w:val="22"/>
          <w:szCs w:val="22"/>
        </w:rPr>
        <w:t xml:space="preserve">19.2 OBP.</w:t>
      </w:r>
      <w:r>
        <w:rPr>
          <w:rFonts w:ascii="Calibri" w:cs="Calibri" w:eastAsia="Calibri" w:hAnsi="Calibri"/>
          <w:sz w:val="22"/>
          <w:szCs w:val="22"/>
        </w:rPr>
        <w:t xml:space="preserve"> OBP warrants that it will perform the Services with reasonable skill and care and in accordance with good industry practice; that its personnel are suitably skilled, qualified and experienced; that clause 10.2 is accurate; and that the Services and the OBP Materials do not infringe any third party's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the seller of record registration, the AWS Partner Network status and the entitlements described in clause 6.1; that it has the right to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with applicable sanctions and export control laws, and with applicable modern slavery laws. OBP will apply the partner due diligence criteria in Schedule 1 before onboarding a Recruited Partner, will not onboard a partner owned or controlled by a government official without Automatum's prior written consent, and will maintain records of commission payments available to audit under clause 12.5. The Parties record that a programme recruiting resellers across multiple jurisdictions and paying them commissions carries intermediary risk that this clause is intended to manage.</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ANY IMPLIED WARRANTY OF MERCHANTABILITY, FITNESS FOR A PARTICULAR PURPOSE, OR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OBP indemnity.</w:t>
      </w:r>
      <w:r>
        <w:rPr>
          <w:rFonts w:ascii="Calibri" w:cs="Calibri" w:eastAsia="Calibri" w:hAnsi="Calibri"/>
          <w:sz w:val="22"/>
          <w:szCs w:val="22"/>
        </w:rPr>
        <w:t xml:space="preserve"> OBP will defend Automatum against any third party claim, and indemnify it against Losses finally awarded or agreed in settlement, arising from: infringement of intellectual property rights by the Services or the OBP Materials; OBP's breach of clause 18; OBP's breach of an AWS Program Term; OBP's breach of clause 15; and any claim by OBP's personnel that they are or were employed by Automatum.</w:t>
      </w:r>
    </w:p>
    <w:p>
      <w:pPr>
        <w:spacing w:after="160" w:before="0" w:line="276"/>
        <w:jc w:val="both"/>
      </w:pPr>
      <w:r>
        <w:rPr>
          <w:rFonts w:ascii="Calibri" w:cs="Calibri" w:eastAsia="Calibri" w:hAnsi="Calibri"/>
          <w:b/>
          <w:bCs/>
          <w:sz w:val="22"/>
          <w:szCs w:val="22"/>
        </w:rPr>
        <w:t xml:space="preserve">20.2 Automatum indemnity.</w:t>
      </w:r>
      <w:r>
        <w:rPr>
          <w:rFonts w:ascii="Calibri" w:cs="Calibri" w:eastAsia="Calibri" w:hAnsi="Calibri"/>
          <w:sz w:val="22"/>
          <w:szCs w:val="22"/>
        </w:rPr>
        <w:t xml:space="preserve"> Automatum will defend OBP against any third party claim, and indemnify it against Losses finally awarded or agreed in settlement, arising from: Automatum's breach of clause 6.5 or clause 6.6, including any commitment Automatum made to a Client beyond Schedule 1 and Schedule 4; Automatum's loss of, or a defect in, its listing, seller of record position or AWS Partner Network entitlements; infringement of intellectual property rights by the Automatum Brand; and Automatum's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the indemnifying Party promptly, give it sole control of the defence and settlement, and give reasonable cooperation at the indemnifying Party's cost. The indemnifying Party will not settle in a way that imposes a non-indemnified obligation or an admission of liability on the indemnified Party without its consent. Failure to notify promptly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in this Agreement limits either Party's liability for death or personal injury caused by its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 however arising.</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arising out of or in connection with this Agreement is limited, per Engagement Order, to the greater of (a) one hundred percent (100%) of the OBP Service Revenue paid and payable for that Engagement Order in the twelve (12) months before the event giving rise to the liability, and (b) fifty thousand dollars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20.1 and clause 20.2, and liability for breach of clause 15, clause 17 or clause 18, is limited to the greater of (a) two hundred percent (200%) of the OBP Service Revenue paid and payable in the twelve (12) months before the event, and (b) two hundred fifty thousand dollars ($250,000).</w:t>
      </w:r>
    </w:p>
    <w:p>
      <w:pPr>
        <w:spacing w:after="160" w:before="0" w:line="276"/>
        <w:jc w:val="both"/>
      </w:pPr>
      <w:r>
        <w:rPr>
          <w:rFonts w:ascii="Calibri" w:cs="Calibri" w:eastAsia="Calibri" w:hAnsi="Calibri"/>
          <w:b/>
          <w:bCs/>
          <w:sz w:val="22"/>
          <w:szCs w:val="22"/>
        </w:rPr>
        <w:t xml:space="preserve">21.5 Direct loss carve-back.</w:t>
      </w:r>
      <w:r>
        <w:rPr>
          <w:rFonts w:ascii="Calibri" w:cs="Calibri" w:eastAsia="Calibri" w:hAnsi="Calibri"/>
          <w:sz w:val="22"/>
          <w:szCs w:val="22"/>
        </w:rPr>
        <w:t xml:space="preserve"> Notwithstanding clause 21.2, the following are recoverable as direct loss: Service Credits Automatum is required to give a Registered Client, to the extent they flow down under clause 8.4 and within the caps in clause 8.5; the cost of procuring replacement services following OBP's default, up to the cap in clause 21.3; and amounts payable under clause 15.6 and clause 15.7. Without this clause the flow-down in clause 8.4 would be vulnerable to characterization as an excluded loss.</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 caps in this clause 21.</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b/>
          <w:bCs/>
          <w:sz w:val="22"/>
          <w:szCs w:val="22"/>
        </w:rPr>
        <w:t xml:space="preserve">22.1</w:t>
      </w:r>
      <w:r>
        <w:rPr>
          <w:rFonts w:ascii="Calibri" w:cs="Calibri" w:eastAsia="Calibri" w:hAnsi="Calibri"/>
          <w:sz w:val="22"/>
          <w:szCs w:val="22"/>
        </w:rPr>
        <w:t xml:space="preserve"> OBP will maintain, with insurers of good standing, commercial general liability, professional indemnity or errors and omissions, cyber liability, and employer's liability insurance, each with the limit stated in Schedule 8, for the Term and for two (2) years afterwards.</w:t>
      </w:r>
    </w:p>
    <w:p>
      <w:pPr>
        <w:spacing w:after="160" w:before="0" w:line="276"/>
        <w:jc w:val="both"/>
      </w:pPr>
      <w:r>
        <w:rPr>
          <w:rFonts w:ascii="Calibri" w:cs="Calibri" w:eastAsia="Calibri" w:hAnsi="Calibri"/>
          <w:b/>
          <w:bCs/>
          <w:sz w:val="22"/>
          <w:szCs w:val="22"/>
        </w:rPr>
        <w:t xml:space="preserve">22.2</w:t>
      </w:r>
      <w:r>
        <w:rPr>
          <w:rFonts w:ascii="Calibri" w:cs="Calibri" w:eastAsia="Calibri" w:hAnsi="Calibri"/>
          <w:sz w:val="22"/>
          <w:szCs w:val="22"/>
        </w:rPr>
        <w:t xml:space="preserve"> OBP will provide certificates of insurance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twenty four (24) months (the "Initial Term"), then renews automatically for successive twelve (12) month periods unless either Party gives ninety (90) days' notice before the end of the then current period. The Initial Term is set longer than a twelve (12) month Engagement so that an Engagement Order executed late in the Initial Term can run to its natural expiry. The Term means the Initial Term together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of this Agreement does not terminate an Engagement Order then in effect. Each such Engagement Order continues to its natural expiry, and this Agreement continues to govern it, unless the Engagement Order is itself terminated under this clause 23.</w:t>
      </w:r>
    </w:p>
    <w:p>
      <w:pPr>
        <w:spacing w:after="160" w:before="0" w:line="276"/>
        <w:jc w:val="both"/>
      </w:pPr>
      <w:r>
        <w:rPr>
          <w:rFonts w:ascii="Calibri" w:cs="Calibri" w:eastAsia="Calibri" w:hAnsi="Calibri"/>
          <w:b/>
          <w:bCs/>
          <w:sz w:val="22"/>
          <w:szCs w:val="22"/>
        </w:rPr>
        <w:t xml:space="preserve">23.3 Termination for convenience.</w:t>
      </w:r>
      <w:r>
        <w:rPr>
          <w:rFonts w:ascii="Calibri" w:cs="Calibri" w:eastAsia="Calibri" w:hAnsi="Calibri"/>
          <w:sz w:val="22"/>
          <w:szCs w:val="22"/>
        </w:rPr>
        <w:t xml:space="preserve"> Either Party may terminate this Agreement for convenience on ninety (90) days' notice. Clause 23.2 applies, so termination stops new Engagement Orders but does not end existing ones.</w:t>
      </w:r>
    </w:p>
    <w:p>
      <w:pPr>
        <w:spacing w:after="160" w:before="0" w:line="276"/>
        <w:jc w:val="both"/>
      </w:pPr>
      <w:r>
        <w:rPr>
          <w:rFonts w:ascii="Calibri" w:cs="Calibri" w:eastAsia="Calibri" w:hAnsi="Calibri"/>
          <w:b/>
          <w:bCs/>
          <w:sz w:val="22"/>
          <w:szCs w:val="22"/>
        </w:rPr>
        <w:t xml:space="preserve">23.4 Termination for cause.</w:t>
      </w:r>
      <w:r>
        <w:rPr>
          <w:rFonts w:ascii="Calibri" w:cs="Calibri" w:eastAsia="Calibri" w:hAnsi="Calibri"/>
          <w:sz w:val="22"/>
          <w:szCs w:val="22"/>
        </w:rPr>
        <w:t xml:space="preserve"> Either Party may terminate this Agreement, or a single Engagement Order, immediately on notice if the other Party commits a material breach that is incapable of remedy, or that is capable of remedy and is not remedied within thirty (30) days of notice. Automatum may terminate a single Engagement Order under clause 8.7 for Chronic Failure. OBP may terminate a single Engagement Order under clause 11.8 for sustained non-payment.</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this Agreement immediately on notice if the other enters an insolvency process, has a receiver, administrator or trustee appointed over a material part of its assets, makes a general assignment for the benefit of creditors, or ceases to carry on business. Clause 10.10 applies to licences granted under this Agreement.</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10.4, 10.6, 10.8, 10.9, 10.10, 11 (for amounts accrued), 12.4, 15, 16, 17, 18, 20, 21, 22.1, 23.6, 24, 26 and 27 survive termination, together with any provision that by its nature is intended to survive.</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of an Engagement Order, OBP will provide transition assistance for ninety (90) days, extendable by Automatum to one hundred eighty (180) days on notice given before the initial period ends.</w:t>
      </w:r>
    </w:p>
    <w:p>
      <w:pPr>
        <w:spacing w:after="160" w:before="0" w:line="276"/>
        <w:jc w:val="both"/>
      </w:pPr>
      <w:r>
        <w:rPr>
          <w:rFonts w:ascii="Calibri" w:cs="Calibri" w:eastAsia="Calibri" w:hAnsi="Calibri"/>
          <w:b/>
          <w:bCs/>
          <w:sz w:val="22"/>
          <w:szCs w:val="22"/>
        </w:rPr>
        <w:t xml:space="preserve">24.2 Cost.</w:t>
      </w:r>
      <w:r>
        <w:rPr>
          <w:rFonts w:ascii="Calibri" w:cs="Calibri" w:eastAsia="Calibri" w:hAnsi="Calibri"/>
          <w:sz w:val="22"/>
          <w:szCs w:val="22"/>
        </w:rPr>
        <w:t xml:space="preserve"> Transition assistance is at OBP's cost where termination is for OBP's breach or insolvency, and is chargeable at the rate card in Schedule 2 in every other case, including termination for Automatum's breach or convenience and expiry.</w:t>
      </w:r>
    </w:p>
    <w:p>
      <w:pPr>
        <w:spacing w:after="160" w:before="0" w:line="276"/>
        <w:jc w:val="both"/>
      </w:pPr>
      <w:r>
        <w:rPr>
          <w:rFonts w:ascii="Calibri" w:cs="Calibri" w:eastAsia="Calibri" w:hAnsi="Calibri"/>
          <w:b/>
          <w:bCs/>
          <w:sz w:val="22"/>
          <w:szCs w:val="22"/>
        </w:rPr>
        <w:t xml:space="preserve">24.3 Deliverables.</w:t>
      </w:r>
      <w:r>
        <w:rPr>
          <w:rFonts w:ascii="Calibri" w:cs="Calibri" w:eastAsia="Calibri" w:hAnsi="Calibri"/>
          <w:sz w:val="22"/>
          <w:szCs w:val="22"/>
        </w:rPr>
        <w:t xml:space="preserve"> Transition assistance comprises: a verified full export of the Client Data under clause 10.5 with a restore test; knowledge transfer sessions;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under clause 18.2; and continuation of the licence in clause 16.4.</w:t>
      </w:r>
    </w:p>
    <w:p>
      <w:pPr>
        <w:spacing w:after="160" w:before="0" w:line="276"/>
        <w:jc w:val="both"/>
      </w:pPr>
      <w:r>
        <w:rPr>
          <w:rFonts w:ascii="Calibri" w:cs="Calibri" w:eastAsia="Calibri" w:hAnsi="Calibri"/>
          <w:b/>
          <w:bCs/>
          <w:sz w:val="22"/>
          <w:szCs w:val="22"/>
        </w:rPr>
        <w:t xml:space="preserve">24.4 Conduct.</w:t>
      </w:r>
      <w:r>
        <w:rPr>
          <w:rFonts w:ascii="Calibri" w:cs="Calibri" w:eastAsia="Calibri" w:hAnsi="Calibri"/>
          <w:sz w:val="22"/>
          <w:szCs w:val="22"/>
        </w:rPr>
        <w:t xml:space="preserve"> Throughout the transition period OBP will continue to perform the Services and the service levels continue to apply, and clause 7 continues to apply so that no Client or Recruited Partner learns of OBP's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a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 13.7 and clause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the other promptly and use reasonable efforts to mitigate. If a Force Majeure Event continues for sixty (60) consecutive days, either Party may terminate the affected Engagement Order on thirty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w:t>
      </w:r>
      <w:r>
        <w:rPr>
          <w:rFonts w:ascii="Calibri" w:cs="Calibri" w:eastAsia="Calibri" w:hAnsi="Calibri"/>
          <w:sz w:val="22"/>
          <w:szCs w:val="22"/>
        </w:rPr>
        <w:t xml:space="preserve"> The Parties will hold a monthly service review and a quarterly business review, each attended by the relationship managers named in Schedule 7.</w:t>
      </w:r>
    </w:p>
    <w:p>
      <w:pPr>
        <w:spacing w:after="160" w:before="0" w:line="276"/>
        <w:jc w:val="both"/>
      </w:pPr>
      <w:r>
        <w:rPr>
          <w:rFonts w:ascii="Calibri" w:cs="Calibri" w:eastAsia="Calibri" w:hAnsi="Calibri"/>
          <w:b/>
          <w:bCs/>
          <w:sz w:val="22"/>
          <w:szCs w:val="22"/>
        </w:rPr>
        <w:t xml:space="preserve">26.2 Escalation.</w:t>
      </w:r>
      <w:r>
        <w:rPr>
          <w:rFonts w:ascii="Calibri" w:cs="Calibri" w:eastAsia="Calibri" w:hAnsi="Calibri"/>
          <w:sz w:val="22"/>
          <w:szCs w:val="22"/>
        </w:rPr>
        <w:t xml:space="preserve"> A dispute is escalated first to the relationship managers, then to an executive of each Party, each stage allowing ten (10) Business Days. Neither Party may commence proceedings, other than for injunctive relief under clause 15.8, until escalation is exhausted.</w:t>
      </w:r>
    </w:p>
    <w:p>
      <w:pPr>
        <w:spacing w:after="160" w:before="0" w:line="276"/>
        <w:jc w:val="both"/>
      </w:pPr>
      <w:r>
        <w:rPr>
          <w:rFonts w:ascii="Calibri" w:cs="Calibri" w:eastAsia="Calibri" w:hAnsi="Calibri"/>
          <w:b/>
          <w:bCs/>
          <w:sz w:val="22"/>
          <w:szCs w:val="22"/>
        </w:rPr>
        <w:t xml:space="preserve">26.3 Independent contractors.</w:t>
      </w:r>
      <w:r>
        <w:rPr>
          <w:rFonts w:ascii="Calibri" w:cs="Calibri" w:eastAsia="Calibri" w:hAnsi="Calibri"/>
          <w:sz w:val="22"/>
          <w:szCs w:val="22"/>
        </w:rPr>
        <w:t xml:space="preserve"> The Parties are independent contractors. This Agreement does not create a partnership, joint venture, franchise, agency or employment relationship, except for the limited agency in clause 5.4 and any agency Automatum expressly grants in writing.</w:t>
      </w:r>
    </w:p>
    <w:p>
      <w:pPr>
        <w:spacing w:after="160" w:before="0" w:line="276"/>
        <w:jc w:val="both"/>
      </w:pPr>
      <w:r>
        <w:rPr>
          <w:rFonts w:ascii="Calibri" w:cs="Calibri" w:eastAsia="Calibri" w:hAnsi="Calibri"/>
          <w:b/>
          <w:bCs/>
          <w:sz w:val="22"/>
          <w:szCs w:val="22"/>
        </w:rPr>
        <w:t xml:space="preserve">26.4 Assignment.</w:t>
      </w:r>
      <w:r>
        <w:rPr>
          <w:rFonts w:ascii="Calibri" w:cs="Calibri" w:eastAsia="Calibri" w:hAnsi="Calibri"/>
          <w:sz w:val="22"/>
          <w:szCs w:val="22"/>
        </w:rPr>
        <w:t xml:space="preserve"> Neither Party may assign or transfer this Agreement without the other's prior written consent, not to be unreasonably withheld, except that either Party may assign to an affiliate or to a successor in connection with a merger or a sale of substantially all its assets, on notice. If a Party is acquired by a competitor of the other Party, the other Party may terminate this Agreement on sixty (60) days' notice, and clause 23.2 applies.</w:t>
      </w:r>
    </w:p>
    <w:p>
      <w:pPr>
        <w:spacing w:after="160" w:before="0" w:line="276"/>
        <w:jc w:val="both"/>
      </w:pPr>
      <w:r>
        <w:rPr>
          <w:rFonts w:ascii="Calibri" w:cs="Calibri" w:eastAsia="Calibri" w:hAnsi="Calibri"/>
          <w:b/>
          <w:bCs/>
          <w:sz w:val="22"/>
          <w:szCs w:val="22"/>
        </w:rPr>
        <w:t xml:space="preserve">26.5 Notices.</w:t>
      </w:r>
      <w:r>
        <w:rPr>
          <w:rFonts w:ascii="Calibri" w:cs="Calibri" w:eastAsia="Calibri" w:hAnsi="Calibri"/>
          <w:sz w:val="22"/>
          <w:szCs w:val="22"/>
        </w:rPr>
        <w:t xml:space="preserve"> Notices must be in writing and sent to the addresses in Schedule 8, by hand, by recognized courier, or by email to the address stated for legal notices with a copy by courier. A notice is effective on delivery, or on the next Business Day if delivered outside business hours.</w:t>
      </w:r>
    </w:p>
    <w:p>
      <w:pPr>
        <w:spacing w:after="160" w:before="0" w:line="276"/>
        <w:jc w:val="both"/>
      </w:pPr>
      <w:r>
        <w:rPr>
          <w:rFonts w:ascii="Calibri" w:cs="Calibri" w:eastAsia="Calibri" w:hAnsi="Calibri"/>
          <w:b/>
          <w:bCs/>
          <w:sz w:val="22"/>
          <w:szCs w:val="22"/>
        </w:rPr>
        <w:t xml:space="preserve">26.6 Entire agreement.</w:t>
      </w:r>
      <w:r>
        <w:rPr>
          <w:rFonts w:ascii="Calibri" w:cs="Calibri" w:eastAsia="Calibri" w:hAnsi="Calibri"/>
          <w:sz w:val="22"/>
          <w:szCs w:val="22"/>
        </w:rPr>
        <w:t xml:space="preserve"> This Agreement is the entire agreement between the Parties on its subject matter and supersedes all prior discussions, understandings and representations, including the feasibility study referred to in Recital C, which is a discussion document and does not bind either Party. Neither Party has relied on any statement not set out in this Agreement. This clause does not limit liability for fraud.</w:t>
      </w:r>
    </w:p>
    <w:p>
      <w:pPr>
        <w:spacing w:after="160" w:before="0" w:line="276"/>
        <w:jc w:val="both"/>
      </w:pPr>
      <w:r>
        <w:rPr>
          <w:rFonts w:ascii="Calibri" w:cs="Calibri" w:eastAsia="Calibri" w:hAnsi="Calibri"/>
          <w:b/>
          <w:bCs/>
          <w:sz w:val="22"/>
          <w:szCs w:val="22"/>
        </w:rPr>
        <w:t xml:space="preserve">26.7 Amendment and waiver.</w:t>
      </w:r>
      <w:r>
        <w:rPr>
          <w:rFonts w:ascii="Calibri" w:cs="Calibri" w:eastAsia="Calibri" w:hAnsi="Calibri"/>
          <w:sz w:val="22"/>
          <w:szCs w:val="22"/>
        </w:rPr>
        <w:t xml:space="preserve"> An amendment is effective only if in writing and signed by both Parties, or made by change order under clause 14.5. A waiver is effective only if in writing, and a failure or delay in exercising a right is not a waiver of it.</w:t>
      </w:r>
    </w:p>
    <w:p>
      <w:pPr>
        <w:spacing w:after="160" w:before="0" w:line="276"/>
        <w:jc w:val="both"/>
      </w:pPr>
      <w:r>
        <w:rPr>
          <w:rFonts w:ascii="Calibri" w:cs="Calibri" w:eastAsia="Calibri" w:hAnsi="Calibri"/>
          <w:b/>
          <w:bCs/>
          <w:sz w:val="22"/>
          <w:szCs w:val="22"/>
        </w:rPr>
        <w:t xml:space="preserve">26.8 Severability.</w:t>
      </w:r>
      <w:r>
        <w:rPr>
          <w:rFonts w:ascii="Calibri" w:cs="Calibri" w:eastAsia="Calibri" w:hAnsi="Calibri"/>
          <w:sz w:val="22"/>
          <w:szCs w:val="22"/>
        </w:rPr>
        <w:t xml:space="preserve"> If a provision is held invalid or unenforceable, it is modified to the minimum extent necessary to make it enforceable, or severed if it cannot be, and the rest of this Agreement continues in effect. Clause 15.9 applies to clause 15.</w:t>
      </w:r>
    </w:p>
    <w:p>
      <w:pPr>
        <w:spacing w:after="160" w:before="0" w:line="276"/>
        <w:jc w:val="both"/>
      </w:pPr>
      <w:r>
        <w:rPr>
          <w:rFonts w:ascii="Calibri" w:cs="Calibri" w:eastAsia="Calibri" w:hAnsi="Calibri"/>
          <w:b/>
          <w:bCs/>
          <w:sz w:val="22"/>
          <w:szCs w:val="22"/>
        </w:rPr>
        <w:t xml:space="preserve">26.9 No third party rights.</w:t>
      </w:r>
      <w:r>
        <w:rPr>
          <w:rFonts w:ascii="Calibri" w:cs="Calibri" w:eastAsia="Calibri" w:hAnsi="Calibri"/>
          <w:sz w:val="22"/>
          <w:szCs w:val="22"/>
        </w:rPr>
        <w:t xml:space="preserve"> No person other than the Parties has any right to enforce this Agreement, except that a Registered Client may enforce clause 16.4 to the extent necessary to retain the materials its channel runs on.</w:t>
      </w:r>
    </w:p>
    <w:p>
      <w:pPr>
        <w:spacing w:after="160" w:before="0" w:line="276"/>
        <w:jc w:val="both"/>
      </w:pPr>
      <w:r>
        <w:rPr>
          <w:rFonts w:ascii="Calibri" w:cs="Calibri" w:eastAsia="Calibri" w:hAnsi="Calibri"/>
          <w:b/>
          <w:bCs/>
          <w:sz w:val="22"/>
          <w:szCs w:val="22"/>
        </w:rPr>
        <w:t xml:space="preserve">26.10 Counterparts.</w:t>
      </w:r>
      <w:r>
        <w:rPr>
          <w:rFonts w:ascii="Calibri" w:cs="Calibri" w:eastAsia="Calibri" w:hAnsi="Calibri"/>
          <w:sz w:val="22"/>
          <w:szCs w:val="22"/>
        </w:rPr>
        <w:t xml:space="preserve"> This Agreement may be executed in counterparts, including by electronic signature, each of which is an original and all of which together are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 Governing law.</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 Jurisdiction.</w:t>
      </w:r>
      <w:r>
        <w:rPr>
          <w:rFonts w:ascii="Calibri" w:cs="Calibri" w:eastAsia="Calibri" w:hAnsi="Calibri"/>
          <w:sz w:val="22"/>
          <w:szCs w:val="22"/>
        </w:rPr>
        <w:t xml:space="preserve"> Subject to clause 26.2, the state and federal courts located in New York County, New York have exclusive jurisdiction, and each Party irrevocably submits to that jurisdiction and waives any objection based on venue or forum non conveniens.</w:t>
      </w:r>
    </w:p>
    <w:p>
      <w:pPr>
        <w:spacing w:after="160" w:before="0" w:line="276"/>
        <w:jc w:val="both"/>
      </w:pPr>
      <w:r>
        <w:rPr>
          <w:rFonts w:ascii="Calibri" w:cs="Calibri" w:eastAsia="Calibri" w:hAnsi="Calibri"/>
          <w:b/>
          <w:bCs/>
          <w:sz w:val="22"/>
          <w:szCs w:val="22"/>
        </w:rPr>
        <w:t xml:space="preserve">27.3 Jury waiver.</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twelve (12) month engagement under which Automatum builds and runs a reseller channel on AWS for a Registered Client. Delivery comprises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At every Tier: recurring Selling Authorizations prepared, issued and tracked in AWS Marketplace; the PSR stood up and operated within the OBP Service Revenue; AWS Partner Revenue Measurement attribution configured for the channel.</w:t>
      </w:r>
    </w:p>
    <w:p>
      <w:pPr>
        <w:pStyle w:val="Heading2"/>
        <w:keepNext/>
        <w:spacing w:after="140" w:before="300"/>
      </w:pPr>
      <w:r>
        <w:rPr>
          <w:rFonts w:ascii="Calibri" w:cs="Calibri" w:eastAsia="Calibri" w:hAnsi="Calibri"/>
          <w:b/>
          <w:bCs/>
          <w:sz w:val="24"/>
          <w:szCs w:val="24"/>
        </w:rPr>
        <w:t xml:space="preserve">3. Partner numbers are a ceiling</w:t>
      </w:r>
    </w:p>
    <w:p>
      <w:pPr>
        <w:spacing w:after="160" w:before="0" w:line="276"/>
        <w:jc w:val="both"/>
      </w:pPr>
      <w:r>
        <w:rPr>
          <w:rFonts w:ascii="Calibri" w:cs="Calibri" w:eastAsia="Calibri" w:hAnsi="Calibri"/>
          <w:sz w:val="22"/>
          <w:szCs w:val="22"/>
        </w:rPr>
        <w:t xml:space="preserve">The partner numbers are the maximum OBP is obliged to recruit and onboard. Clause 5.3 governs. OBP does not warrant that any partner is recruited, authorized, issues an offer, transacts or becomes an Active Partner.</w:t>
      </w:r>
    </w:p>
    <w:p>
      <w:pPr>
        <w:pStyle w:val="Heading2"/>
        <w:keepNext/>
        <w:spacing w:after="140" w:before="300"/>
      </w:pPr>
      <w:r>
        <w:rPr>
          <w:rFonts w:ascii="Calibri" w:cs="Calibri" w:eastAsia="Calibri" w:hAnsi="Calibri"/>
          <w:b/>
          <w:bCs/>
          <w:sz w:val="24"/>
          <w:szCs w:val="24"/>
        </w:rPr>
        <w:t xml:space="preserve">4. Tier 3 "uncapped" means no ceiling, not unlimited rate</w:t>
      </w:r>
    </w:p>
    <w:p>
      <w:pPr>
        <w:spacing w:after="160" w:before="0" w:line="276"/>
        <w:jc w:val="both"/>
      </w:pPr>
      <w:r>
        <w:rPr>
          <w:rFonts w:ascii="Calibri" w:cs="Calibri" w:eastAsia="Calibri" w:hAnsi="Calibri"/>
          <w:sz w:val="22"/>
          <w:szCs w:val="22"/>
        </w:rPr>
        <w:t xml:space="preserve">For a Tier 3 Engagement there is no contractual ceiling on the total number of Recruited Partners over the Engagement. OBP's obligation is a throughput obligation:</w:t>
      </w:r>
    </w:p>
    <w:p>
      <w:pPr>
        <w:pStyle w:val="ListParagraph"/>
        <w:numPr>
          <w:ilvl w:val="0"/>
          <w:numId w:val="1"/>
        </w:numPr>
        <w:spacing w:after="80" w:before="40" w:line="276"/>
      </w:pPr>
      <w:r>
        <w:rPr>
          <w:rFonts w:ascii="Calibri" w:cs="Calibri" w:eastAsia="Calibri" w:hAnsi="Calibri"/>
          <w:sz w:val="22"/>
          <w:szCs w:val="22"/>
        </w:rPr>
        <w:t xml:space="preserve">OBP will process up to the Onboarding Throughput Rate stated in the Engagement Order in new partner onboardings per month, and will maintain up to the stated number of concurrent onboardings, operated as a first-in-first-out queue with queue position visible in the PSR.</w:t>
      </w:r>
    </w:p>
    <w:p>
      <w:pPr>
        <w:pStyle w:val="ListParagraph"/>
        <w:numPr>
          <w:ilvl w:val="0"/>
          <w:numId w:val="1"/>
        </w:numPr>
        <w:spacing w:after="80" w:before="40" w:line="276"/>
      </w:pPr>
      <w:r>
        <w:rPr>
          <w:rFonts w:ascii="Calibri" w:cs="Calibri" w:eastAsia="Calibri" w:hAnsi="Calibri"/>
          <w:sz w:val="22"/>
          <w:szCs w:val="22"/>
        </w:rPr>
        <w:t xml:space="preserve">Requests above the rate are queued. Queuing is not a failure to meet a service level.</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one hundred fifty percent (150%) of Baseline over any rolling three (3) months, either Party may invoke clause 14.5, and Automatum will use reasonable efforts to obtain an uplift from the Client or a move to a bespoke tier. If the Client will not agree, OBP's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stated in the Engagement Order, incremental PSR licence cost is passed through at cost under clause 14.5, unless OBP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5. Services at every Tier</w:t>
      </w:r>
    </w:p>
    <w:p>
      <w:pPr>
        <w:spacing w:after="160" w:before="0" w:line="276"/>
        <w:jc w:val="both"/>
      </w:pPr>
      <w:r>
        <w:rPr>
          <w:rFonts w:ascii="Calibri" w:cs="Calibri" w:eastAsia="Calibri" w:hAnsi="Calibri"/>
          <w:b/>
          <w:bCs/>
          <w:sz w:val="22"/>
          <w:szCs w:val="22"/>
        </w:rPr>
        <w:t xml:space="preserve">5.1 Recruitment.</w:t>
      </w:r>
      <w:r>
        <w:rPr>
          <w:rFonts w:ascii="Calibri" w:cs="Calibri" w:eastAsia="Calibri" w:hAnsi="Calibri"/>
          <w:sz w:val="22"/>
          <w:szCs w:val="22"/>
        </w:rPr>
        <w:t xml:space="preserve"> Identify, qualify, approach, recruit and onboard Recruited Partners against the ideal partner profile agreed in the Engagement Order.</w:t>
      </w:r>
    </w:p>
    <w:p>
      <w:pPr>
        <w:spacing w:after="160" w:before="0" w:line="276"/>
        <w:jc w:val="both"/>
      </w:pPr>
      <w:r>
        <w:rPr>
          <w:rFonts w:ascii="Calibri" w:cs="Calibri" w:eastAsia="Calibri" w:hAnsi="Calibri"/>
          <w:b/>
          <w:bCs/>
          <w:sz w:val="22"/>
          <w:szCs w:val="22"/>
        </w:rPr>
        <w:t xml:space="preserve">5.2 Partner due diligence.</w:t>
      </w:r>
      <w:r>
        <w:rPr>
          <w:rFonts w:ascii="Calibri" w:cs="Calibri" w:eastAsia="Calibri" w:hAnsi="Calibri"/>
          <w:sz w:val="22"/>
          <w:szCs w:val="22"/>
        </w:rPr>
        <w:t xml:space="preserve"> Before onboarding, screen each candidate against: sanctions and denied party lists; adverse media; beneficial ownership, including whether any owner or controller is a government official; AWS Partner Network standing; and financial standing. Clause 19.4 governs the consequences.</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Draft, issue and administer the partner agreement and margin schedule, executed between the Registered Client, or Automatum as its agent, and the partner. Clause 5.4 governs. OBP is never a principal.</w:t>
      </w:r>
    </w:p>
    <w:p>
      <w:pPr>
        <w:spacing w:after="160" w:before="0" w:line="276"/>
        <w:jc w:val="both"/>
      </w:pPr>
      <w:r>
        <w:rPr>
          <w:rFonts w:ascii="Calibri" w:cs="Calibri" w:eastAsia="Calibri" w:hAnsi="Calibri"/>
          <w:b/>
          <w:bCs/>
          <w:sz w:val="22"/>
          <w:szCs w:val="22"/>
        </w:rPr>
        <w:t xml:space="preserve">5.4 Onboarding.</w:t>
      </w:r>
      <w:r>
        <w:rPr>
          <w:rFonts w:ascii="Calibri" w:cs="Calibri" w:eastAsia="Calibri" w:hAnsi="Calibri"/>
          <w:sz w:val="22"/>
          <w:szCs w:val="22"/>
        </w:rPr>
        <w:t xml:space="preserve"> Guide each partner through AWS registration, tax and banking details, and service-linked role creation. Clause 8.3 governs delay caused by a partner's failure to complete these, which is outside OBP's control.</w:t>
      </w:r>
    </w:p>
    <w:p>
      <w:pPr>
        <w:spacing w:after="160" w:before="0" w:line="276"/>
        <w:jc w:val="both"/>
      </w:pPr>
      <w:r>
        <w:rPr>
          <w:rFonts w:ascii="Calibri" w:cs="Calibri" w:eastAsia="Calibri" w:hAnsi="Calibri"/>
          <w:b/>
          <w:bCs/>
          <w:sz w:val="22"/>
          <w:szCs w:val="22"/>
        </w:rPr>
        <w:t xml:space="preserve">5.5 Enablement and training.</w:t>
      </w:r>
      <w:r>
        <w:rPr>
          <w:rFonts w:ascii="Calibri" w:cs="Calibri" w:eastAsia="Calibri" w:hAnsi="Calibri"/>
          <w:sz w:val="22"/>
          <w:szCs w:val="22"/>
        </w:rPr>
        <w:t xml:space="preserve"> Deliver sessions at the Tier cadence, covering the Client's product, the offer mechanics, deal registration and the margin schedule.</w:t>
      </w:r>
    </w:p>
    <w:p>
      <w:pPr>
        <w:spacing w:after="160" w:before="0" w:line="276"/>
        <w:jc w:val="both"/>
      </w:pPr>
      <w:r>
        <w:rPr>
          <w:rFonts w:ascii="Calibri" w:cs="Calibri" w:eastAsia="Calibri" w:hAnsi="Calibri"/>
          <w:b/>
          <w:bCs/>
          <w:sz w:val="22"/>
          <w:szCs w:val="22"/>
        </w:rPr>
        <w:t xml:space="preserve">5.6 Deal desk.</w:t>
      </w:r>
      <w:r>
        <w:rPr>
          <w:rFonts w:ascii="Calibri" w:cs="Calibri" w:eastAsia="Calibri" w:hAnsi="Calibri"/>
          <w:sz w:val="22"/>
          <w:szCs w:val="22"/>
        </w:rPr>
        <w:t xml:space="preserve"> Receive Deal Desk Requests and deliver an Issuance-Ready Package to Automatum within the OBP leg in Schedule 4.</w:t>
      </w:r>
    </w:p>
    <w:p>
      <w:pPr>
        <w:spacing w:after="160" w:before="0" w:line="276"/>
        <w:jc w:val="both"/>
      </w:pPr>
      <w:r>
        <w:rPr>
          <w:rFonts w:ascii="Calibri" w:cs="Calibri" w:eastAsia="Calibri" w:hAnsi="Calibri"/>
          <w:b/>
          <w:bCs/>
          <w:sz w:val="22"/>
          <w:szCs w:val="22"/>
        </w:rPr>
        <w:t xml:space="preserve">5.7 Selling Authorizations.</w:t>
      </w:r>
      <w:r>
        <w:rPr>
          <w:rFonts w:ascii="Calibri" w:cs="Calibri" w:eastAsia="Calibri" w:hAnsi="Calibri"/>
          <w:sz w:val="22"/>
          <w:szCs w:val="22"/>
        </w:rPr>
        <w:t xml:space="preserve"> Prepare and submit recurring Selling Authorization requests to Automatum and track their status in the PSR.</w:t>
      </w:r>
    </w:p>
    <w:p>
      <w:pPr>
        <w:spacing w:after="160" w:before="0" w:line="276"/>
        <w:jc w:val="both"/>
      </w:pPr>
      <w:r>
        <w:rPr>
          <w:rFonts w:ascii="Calibri" w:cs="Calibri" w:eastAsia="Calibri" w:hAnsi="Calibri"/>
          <w:b/>
          <w:bCs/>
          <w:sz w:val="22"/>
          <w:szCs w:val="22"/>
        </w:rPr>
        <w:t xml:space="preserve">5.8 Channel Reviews.</w:t>
      </w:r>
      <w:r>
        <w:rPr>
          <w:rFonts w:ascii="Calibri" w:cs="Calibri" w:eastAsia="Calibri" w:hAnsi="Calibri"/>
          <w:sz w:val="22"/>
          <w:szCs w:val="22"/>
        </w:rPr>
        <w:t xml:space="preserve"> Deliver reviews at the Tier cadence covering pipeline, partner performance, the headline metric and remediation actions.</w:t>
      </w:r>
    </w:p>
    <w:p>
      <w:pPr>
        <w:spacing w:after="160" w:before="0" w:line="276"/>
        <w:jc w:val="both"/>
      </w:pPr>
      <w:r>
        <w:rPr>
          <w:rFonts w:ascii="Calibri" w:cs="Calibri" w:eastAsia="Calibri" w:hAnsi="Calibri"/>
          <w:b/>
          <w:bCs/>
          <w:sz w:val="22"/>
          <w:szCs w:val="22"/>
        </w:rPr>
        <w:t xml:space="preserve">5.9 PSR.</w:t>
      </w:r>
      <w:r>
        <w:rPr>
          <w:rFonts w:ascii="Calibri" w:cs="Calibri" w:eastAsia="Calibri" w:hAnsi="Calibri"/>
          <w:sz w:val="22"/>
          <w:szCs w:val="22"/>
        </w:rPr>
        <w:t xml:space="preserve"> Stand up, configure, host, operate, support and maintain the PSR under clause 10 and Schedule 5.</w:t>
      </w:r>
    </w:p>
    <w:p>
      <w:pPr>
        <w:spacing w:after="160" w:before="0" w:line="276"/>
        <w:jc w:val="both"/>
      </w:pPr>
      <w:r>
        <w:rPr>
          <w:rFonts w:ascii="Calibri" w:cs="Calibri" w:eastAsia="Calibri" w:hAnsi="Calibri"/>
          <w:b/>
          <w:bCs/>
          <w:sz w:val="22"/>
          <w:szCs w:val="22"/>
        </w:rPr>
        <w:t xml:space="preserve">5.10 Attribution.</w:t>
      </w:r>
      <w:r>
        <w:rPr>
          <w:rFonts w:ascii="Calibri" w:cs="Calibri" w:eastAsia="Calibri" w:hAnsi="Calibri"/>
          <w:sz w:val="22"/>
          <w:szCs w:val="22"/>
        </w:rPr>
        <w:t xml:space="preserve"> Support configuration of AWS Partner Revenue Measurement attribution as described in clause 5.10 of this Agreement.</w:t>
      </w:r>
    </w:p>
    <w:p>
      <w:pPr>
        <w:spacing w:after="160" w:before="0" w:line="276"/>
        <w:jc w:val="both"/>
      </w:pPr>
      <w:r>
        <w:rPr>
          <w:rFonts w:ascii="Calibri" w:cs="Calibri" w:eastAsia="Calibri" w:hAnsi="Calibri"/>
          <w:b/>
          <w:bCs/>
          <w:sz w:val="22"/>
          <w:szCs w:val="22"/>
        </w:rPr>
        <w:t xml:space="preserve">5.11 ACE.</w:t>
      </w:r>
      <w:r>
        <w:rPr>
          <w:rFonts w:ascii="Calibri" w:cs="Calibri" w:eastAsia="Calibri" w:hAnsi="Calibri"/>
          <w:sz w:val="22"/>
          <w:szCs w:val="22"/>
        </w:rPr>
        <w:t xml:space="preserve"> File partner-sourced opportunities under the account in Schedule 8, tracked distinctly from any baseline quota.</w:t>
      </w:r>
    </w:p>
    <w:p>
      <w:pPr>
        <w:spacing w:after="160" w:before="0" w:line="276"/>
        <w:jc w:val="both"/>
      </w:pPr>
      <w:r>
        <w:rPr>
          <w:rFonts w:ascii="Calibri" w:cs="Calibri" w:eastAsia="Calibri" w:hAnsi="Calibri"/>
          <w:b/>
          <w:bCs/>
          <w:sz w:val="22"/>
          <w:szCs w:val="22"/>
        </w:rPr>
        <w:t xml:space="preserve">5.12 Reporting.</w:t>
      </w:r>
      <w:r>
        <w:rPr>
          <w:rFonts w:ascii="Calibri" w:cs="Calibri" w:eastAsia="Calibri" w:hAnsi="Calibri"/>
          <w:sz w:val="22"/>
          <w:szCs w:val="22"/>
        </w:rPr>
        <w:t xml:space="preserve"> Deliver the monthly reporting pack in Schedule 4.</w:t>
      </w:r>
    </w:p>
    <w:p>
      <w:pPr>
        <w:pStyle w:val="Heading2"/>
        <w:keepNext/>
        <w:spacing w:after="140" w:before="300"/>
      </w:pPr>
      <w:r>
        <w:rPr>
          <w:rFonts w:ascii="Calibri" w:cs="Calibri" w:eastAsia="Calibri" w:hAnsi="Calibri"/>
          <w:b/>
          <w:bCs/>
          <w:sz w:val="24"/>
          <w:szCs w:val="24"/>
        </w:rPr>
        <w:t xml:space="preserve">6. Partner milestones are targets, not warranties</w:t>
      </w:r>
    </w:p>
    <w:p>
      <w:pPr>
        <w:spacing w:after="160" w:before="0" w:line="276"/>
        <w:jc w:val="both"/>
      </w:pPr>
      <w:r>
        <w:rPr>
          <w:rFonts w:ascii="Calibri" w:cs="Calibri" w:eastAsia="Calibri" w:hAnsi="Calibri"/>
          <w:sz w:val="22"/>
          <w:szCs w:val="22"/>
        </w:rPr>
        <w:t xml:space="preserve">The Parties record the programme target that a Recruited Partner achieves its first Transaction by the end of the first quarter following its partner agreement signature date. This is a target supported by a best efforts obligation and a reporting duty. It is not a warranty, because partner timelines depend on the partner completing AWS registration, tax, banking and service-linked role requirements, which is outside the control of OBP,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7. Active Partner measurement</w:t>
      </w:r>
    </w:p>
    <w:p>
      <w:pPr>
        <w:spacing w:after="160" w:before="0" w:line="276"/>
        <w:jc w:val="both"/>
      </w:pPr>
      <w:r>
        <w:rPr>
          <w:rFonts w:ascii="Calibri" w:cs="Calibri" w:eastAsia="Calibri" w:hAnsi="Calibri"/>
          <w:sz w:val="22"/>
          <w:szCs w:val="22"/>
        </w:rPr>
        <w:t xml:space="preserve">A Recruited Partner is an Active Partner only if it has transacted at least once in the preceding three hundred sixty five (365) days. Because an Engagement Year is twelve (12) months, a partner recruited late in an Engagement cannot reach Active Partner status within that Engagement. Accordingly:</w:t>
      </w:r>
    </w:p>
    <w:p>
      <w:pPr>
        <w:pStyle w:val="ListParagraph"/>
        <w:numPr>
          <w:ilvl w:val="0"/>
          <w:numId w:val="1"/>
        </w:numPr>
        <w:spacing w:after="80" w:before="40" w:line="276"/>
      </w:pPr>
      <w:r>
        <w:rPr>
          <w:rFonts w:ascii="Calibri" w:cs="Calibri" w:eastAsia="Calibri" w:hAnsi="Calibri"/>
          <w:sz w:val="22"/>
          <w:szCs w:val="22"/>
        </w:rPr>
        <w:t xml:space="preserve">Active Partner counts are measured on a trailing basis and are also measured at a post-term measurement date falling three (3) months after the end of the Engagement Year;</w:t>
      </w:r>
    </w:p>
    <w:p>
      <w:pPr>
        <w:pStyle w:val="ListParagraph"/>
        <w:numPr>
          <w:ilvl w:val="0"/>
          <w:numId w:val="1"/>
        </w:numPr>
        <w:spacing w:after="80" w:before="40" w:line="276"/>
      </w:pPr>
      <w:r>
        <w:rPr>
          <w:rFonts w:ascii="Calibri" w:cs="Calibri" w:eastAsia="Calibri" w:hAnsi="Calibri"/>
          <w:sz w:val="22"/>
          <w:szCs w:val="22"/>
        </w:rPr>
        <w:t xml:space="preserve">Recruited Partners onboarded in the final ninety (90) days of an Engagement Year are excluded from any in-term ratio expressed by reference to Active Partners; and</w:t>
      </w:r>
    </w:p>
    <w:p>
      <w:pPr>
        <w:pStyle w:val="ListParagraph"/>
        <w:numPr>
          <w:ilvl w:val="0"/>
          <w:numId w:val="1"/>
        </w:numPr>
        <w:spacing w:after="80" w:before="40" w:line="276"/>
      </w:pPr>
      <w:r>
        <w:rPr>
          <w:rFonts w:ascii="Calibri" w:cs="Calibri" w:eastAsia="Calibri" w:hAnsi="Calibri"/>
          <w:sz w:val="22"/>
          <w:szCs w:val="22"/>
        </w:rPr>
        <w:t xml:space="preserve">no fee, credit or commitment under this Agreement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8. Out of scope</w:t>
      </w:r>
    </w:p>
    <w:p>
      <w:pPr>
        <w:spacing w:after="160" w:before="0" w:line="276"/>
        <w:jc w:val="both"/>
      </w:pPr>
      <w:r>
        <w:rPr>
          <w:rFonts w:ascii="Calibri" w:cs="Calibri" w:eastAsia="Calibri" w:hAnsi="Calibri"/>
          <w:sz w:val="22"/>
          <w:szCs w:val="22"/>
        </w:rPr>
        <w:t xml:space="preserve">Anything not described in this Schedule 1, including bespoke integration work, partner marketing spend, channel incentive funding, legal advice, and services for a Client's direct customers, is out of scope and chargeable under clause 14.5 at the rate card in Schedule 2.</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under clause 11.3. Service Revenue is the balance of the Collected Client Fees and divides according to Client Status.</w:t>
      </w:r>
    </w:p>
    <w:p>
      <w:pPr>
        <w:spacing w:after="160" w:before="0" w:line="276"/>
        <w:jc w:val="both"/>
      </w:pPr>
      <w:r>
        <w:rPr>
          <w:rFonts w:ascii="Calibri" w:cs="Calibri" w:eastAsia="Calibri" w:hAnsi="Calibri"/>
          <w:b/>
          <w:bCs/>
          <w:sz w:val="22"/>
          <w:szCs w:val="22"/>
        </w:rPr>
        <w:t xml:space="preserve">Net New Client - Platform Revenue to Automatum, Service Revenue retained by OBP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9"/>
        <w:gridCol w:w="1500"/>
        <w:gridCol w:w="2215"/>
        <w:gridCol w:w="2072"/>
        <w:gridCol w:w="1072"/>
        <w:gridCol w:w="1143"/>
        <w:gridCol w:w="929"/>
      </w:tblGrid>
      <w:tr>
        <w:trPr>
          <w:tblHeader/>
        </w:trPr>
        <w:tc>
          <w:tcPr>
            <w:tcW w:type="dxa" w:w="42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50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221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Engagement Year</w:t>
            </w:r>
          </w:p>
        </w:tc>
        <w:tc>
          <w:tcPr>
            <w:tcW w:type="dxa" w:w="207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 to Automatum</w:t>
            </w:r>
          </w:p>
        </w:tc>
        <w:tc>
          <w:tcPr>
            <w:tcW w:type="dxa" w:w="107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4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share (100%)</w:t>
            </w:r>
          </w:p>
        </w:tc>
        <w:tc>
          <w:tcPr>
            <w:tcW w:type="dxa" w:w="92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r>
      <w:tr>
        <w:trPr>
          <w:tblHeader w:val="false"/>
        </w:trPr>
        <w:tc>
          <w:tcPr>
            <w:tcW w:type="dxa" w:w="42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500"/>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2215"/>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2072"/>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1072"/>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43"/>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929"/>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42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500"/>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2215"/>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2072"/>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1072"/>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43"/>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929"/>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42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500"/>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2215"/>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2072"/>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1072"/>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43"/>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929"/>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OBP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 The figures below are the Engagement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
        <w:gridCol w:w="1456"/>
        <w:gridCol w:w="2427"/>
        <w:gridCol w:w="1040"/>
        <w:gridCol w:w="1456"/>
        <w:gridCol w:w="901"/>
        <w:gridCol w:w="1664"/>
      </w:tblGrid>
      <w:tr>
        <w:trPr>
          <w:tblHeader/>
        </w:trPr>
        <w:tc>
          <w:tcPr>
            <w:tcW w:type="dxa" w:w="41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45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242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per Engagement Year</w:t>
            </w:r>
          </w:p>
        </w:tc>
        <w:tc>
          <w:tcPr>
            <w:tcW w:type="dxa" w:w="1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share (75%)</w:t>
            </w:r>
          </w:p>
        </w:tc>
        <w:tc>
          <w:tcPr>
            <w:tcW w:type="dxa" w:w="145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share (25%)</w:t>
            </w:r>
          </w:p>
        </w:tc>
        <w:tc>
          <w:tcPr>
            <w:tcW w:type="dxa" w:w="90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c>
          <w:tcPr>
            <w:tcW w:type="dxa" w:w="166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416"/>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456"/>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2427"/>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040"/>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456"/>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901"/>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1664"/>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416"/>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456"/>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2427"/>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040"/>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456"/>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901"/>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1664"/>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416"/>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456"/>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2427"/>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040"/>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456"/>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901"/>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1664"/>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Platform Revenue the Client already pays plus Automatum's 25% share, and is stated so the two Client Statuses can be compared. Under this split an upsell is worth more to Automatum than a Net New Client at every Tier, which is the result the Parties intend, because on an upsell Automatum contributes the Client relationship.</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that the twelve monthly amounts total the annual share exactly.</w:t>
      </w:r>
    </w:p>
    <w:p>
      <w:pPr>
        <w:spacing w:after="160" w:before="0" w:line="276"/>
        <w:jc w:val="both"/>
      </w:pPr>
      <w:r>
        <w:rPr>
          <w:rFonts w:ascii="Calibri" w:cs="Calibri" w:eastAsia="Calibri" w:hAnsi="Calibri"/>
          <w:sz w:val="22"/>
          <w:szCs w:val="22"/>
        </w:rPr>
        <w:t xml:space="preserve">These figures assume the Client Fees are collected in full. Clause 11.1 and clause 11.2 govern where they are not: Platform Revenue and each Party's share of Service Revenue accrue only against Collected Client Fees, and a shortfall is borne by each Party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full Engagement Year, Tier 2</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Client Fees collected $60,000. Platform Revenue $9,999 to Automatum, accruing at $833.25 per month. Service Revenue $50,001, retained in full by OBP and accruing at $4,166.75 per month. OBP invoices $4,166.75 monthly in arrears under clause 11.4.</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is collected and the Client's existing subscription continues alongside it. Service Revenue $50,001 divides $37,500.75 to OBP and $12,500.25 to Automatum. OBP invoices $3,125.06 monthly in arrears, with the final Engagement Month of the Engagement Year taking the rounding difference under paragraph 1.</w:t>
      </w:r>
    </w:p>
    <w:p>
      <w:pPr>
        <w:pStyle w:val="Heading2"/>
        <w:keepNext/>
        <w:spacing w:after="140" w:before="300"/>
      </w:pPr>
      <w:r>
        <w:rPr>
          <w:rFonts w:ascii="Calibri" w:cs="Calibri" w:eastAsia="Calibri" w:hAnsi="Calibri"/>
          <w:b/>
          <w:bCs/>
          <w:sz w:val="24"/>
          <w:szCs w:val="24"/>
        </w:rPr>
        <w:t xml:space="preserve">3. Worked example - Engagement terminated at the end of Engagement Month 3, Tier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40"/>
        <w:gridCol w:w="1620"/>
      </w:tblGrid>
      <w:tr>
        <w:trPr>
          <w:tblHeader/>
        </w:trPr>
        <w:tc>
          <w:tcPr>
            <w:tcW w:type="dxa" w:w="77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6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Amount</w:t>
            </w:r>
          </w:p>
        </w:tc>
      </w:tr>
      <w:tr>
        <w:trPr>
          <w:tblHeader w:val="false"/>
        </w:trPr>
        <w:tc>
          <w:tcPr>
            <w:tcW w:type="dxa" w:w="7740"/>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620"/>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7740"/>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620"/>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7740"/>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accrued (3 x $1,666.75)</w:t>
            </w:r>
          </w:p>
        </w:tc>
        <w:tc>
          <w:tcPr>
            <w:tcW w:type="dxa" w:w="1620"/>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r>
    </w:tbl>
    <w:p>
      <w:pPr>
        <w:spacing w:after="160"/>
      </w:pPr>
      <w:r>
        <w:t xml:space="preserve"/>
      </w:r>
    </w:p>
    <w:p>
      <w:pPr>
        <w:spacing w:after="160" w:before="0" w:line="276"/>
        <w:jc w:val="both"/>
      </w:pPr>
      <w:r>
        <w:rPr>
          <w:rFonts w:ascii="Calibri" w:cs="Calibri" w:eastAsia="Calibri" w:hAnsi="Calibri"/>
          <w:sz w:val="22"/>
          <w:szCs w:val="22"/>
        </w:rPr>
        <w:t xml:space="preserve">Had the same Client been an Existing Automatum Client, the three months would have accrued $2,499.75 of Platform Revenue under its continuing subscription, $3,750.19 of Service Revenue to OBP and $1,250.06 to Automatum.</w:t>
      </w:r>
    </w:p>
    <w:p>
      <w:pPr>
        <w:spacing w:after="160" w:before="0" w:line="276"/>
        <w:jc w:val="both"/>
      </w:pPr>
      <w:r>
        <w:rPr>
          <w:rFonts w:ascii="Calibri" w:cs="Calibri" w:eastAsia="Calibri" w:hAnsi="Calibri"/>
          <w:sz w:val="22"/>
          <w:szCs w:val="22"/>
        </w:rPr>
        <w:t xml:space="preserve">Neither Party recovers a further amount from the other on account of the terminated Engagement, except as clause 4 of this Schedule provides. Automatum has recovered $2,499.75 of the $9,999 it commits annually for its Enterprise tier. The Parties acknowledge that this shortfall is a consequence of the pro rata accrual in clause 11.3 and that it is addressed, if at all, in the Client Agreement rather than in this Agreement. Paragraph 3 of Schedule 8 records this as an open commercial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7354"/>
      </w:tblGrid>
      <w:tr>
        <w:trPr>
          <w:tblHeader/>
        </w:trPr>
        <w:tc>
          <w:tcPr>
            <w:tcW w:type="dxa" w:w="200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5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to the termination date. Any early termination charge collected from the Client is split in the proportions in paragraph 1 for the Tier concerned.</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Terminated for OBP's breach or Chronic Failure</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to the termination date. OBP forfeits its share of any early termination charge and funds transition assistance under clause 24.2.</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Terminated for Automatum's breach or convenience</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OBP is paid the greater of three (3) months' OBP Service Revenue and the OBP Service Revenue for the remainder of the Engagement Year, plus evidenced demobilization costs.</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clause 25.3</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to the termination date.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in Schedule 4 apply from thirty (30) days after the effective date, so that OBP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sixty (60) days' notice, because OBP staffs to the Tier.</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at the Parties' election recorded in a change order under clause 14.5: chargeable at the rate card in paragraph 6; or resolved by trimming the roster to the supported level by agreement within sixty (60) days; or resolved by re-scoping the Engagement as a bespoke tier. Absent agreement within sixty (60) days, OBP's obligation is limited to the new Tier's supported level and Automatum carries the difference against the Client. Without this paragraph a Tier 3 Engagement could downgrade to Tier 1 and leave OBP managing an uncapped roster for $20,001 per year.</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transition assistance chargeable under clause 24.2,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eight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OBP personnel performing client-facing or partner-facing work operate under the Automatum Brand, using Automatum-supplied email addresses on an Automatum domain, Automatum calendar invitations, Automatum document templates and Automatum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OBP personnel are presented as "the Automatum channel team".</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OBP personnel may say that they are part of the Automatum channel team, that they work on Automatum's channel programme, and that they are contractors or partners of Automatum where directly asked. OBP personnel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may not sign any document as an employee or officer of Automatum, and may not complete an employment verification, reference or immigration form in Automatum's name. Clause 7.6 governs.</w:t>
      </w:r>
    </w:p>
    <w:p>
      <w:pPr>
        <w:spacing w:after="160" w:before="0" w:line="276"/>
        <w:jc w:val="both"/>
      </w:pPr>
      <w:r>
        <w:rPr>
          <w:rFonts w:ascii="Calibri" w:cs="Calibri" w:eastAsia="Calibri" w:hAnsi="Calibri"/>
          <w:b/>
          <w:bCs/>
          <w:sz w:val="22"/>
          <w:szCs w:val="22"/>
        </w:rPr>
        <w:t xml:space="preserve">1.4</w:t>
      </w:r>
      <w:r>
        <w:rPr>
          <w:rFonts w:ascii="Calibri" w:cs="Calibri" w:eastAsia="Calibri" w:hAnsi="Calibri"/>
          <w:sz w:val="22"/>
          <w:szCs w:val="22"/>
        </w:rPr>
        <w:t xml:space="preserve"> Automatum does not set OBP personnel's hours, supervise their manner of work, conduct their performance reviews, or determine their compensation. OBP supplies their equipment and their working environment. Requests about an individual are made to OBP's relationship manager under clause 9.5, never to the individual.</w:t>
      </w:r>
    </w:p>
    <w:p>
      <w:pPr>
        <w:pStyle w:val="Heading2"/>
        <w:keepNext/>
        <w:spacing w:after="140" w:before="300"/>
      </w:pPr>
      <w:r>
        <w:rPr>
          <w:rFonts w:ascii="Calibri" w:cs="Calibri" w:eastAsia="Calibri" w:hAnsi="Calibri"/>
          <w:b/>
          <w:bCs/>
          <w:sz w:val="24"/>
          <w:szCs w:val="24"/>
        </w:rPr>
        <w:t xml:space="preserve">2. Client and partner communications</w:t>
      </w:r>
    </w:p>
    <w:p>
      <w:pPr>
        <w:spacing w:after="160" w:before="0" w:line="276"/>
        <w:jc w:val="both"/>
      </w:pPr>
      <w:r>
        <w:rPr>
          <w:rFonts w:ascii="Calibri" w:cs="Calibri" w:eastAsia="Calibri" w:hAnsi="Calibri"/>
          <w:b/>
          <w:bCs/>
          <w:sz w:val="22"/>
          <w:szCs w:val="22"/>
        </w:rPr>
        <w:t xml:space="preserve">2.1 Single intake.</w:t>
      </w:r>
      <w:r>
        <w:rPr>
          <w:rFonts w:ascii="Calibri" w:cs="Calibri" w:eastAsia="Calibri" w:hAnsi="Calibri"/>
          <w:sz w:val="22"/>
          <w:szCs w:val="22"/>
        </w:rPr>
        <w:t xml:space="preserve"> All Client and partner contact routes through a single Automatum-branded intake channel stated in the Engagement Order. OBP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OBP will not initiate contact with a Registered Client outside the intake channel and the named personas, and will not contact a Registered Client about any matter between the Parties. Clause 7.4 governs.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Recording follows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customer relationship management system of record for client-facing activity is Automatum's, as stated in the Engagement Order. OBP will not hold Registered Client contact records in its own systems except within the PSR tenant for that Client.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b/>
          <w:bCs/>
          <w:sz w:val="22"/>
          <w:szCs w:val="22"/>
        </w:rPr>
        <w:t xml:space="preserve">3.1</w:t>
      </w:r>
      <w:r>
        <w:rPr>
          <w:rFonts w:ascii="Calibri" w:cs="Calibri" w:eastAsia="Calibri" w:hAnsi="Calibri"/>
          <w:sz w:val="22"/>
          <w:szCs w:val="22"/>
        </w:rPr>
        <w:t xml:space="preserve"> All client-facing and partner-facing materials carry the Automatum Brand and no OBP or PSR vendor branding. Clause 10.3 governs the one exception and the notice OBP must give.</w:t>
      </w:r>
    </w:p>
    <w:p>
      <w:pPr>
        <w:spacing w:after="160" w:before="0" w:line="276"/>
        <w:jc w:val="both"/>
      </w:pPr>
      <w:r>
        <w:rPr>
          <w:rFonts w:ascii="Calibri" w:cs="Calibri" w:eastAsia="Calibri" w:hAnsi="Calibri"/>
          <w:b/>
          <w:bCs/>
          <w:sz w:val="22"/>
          <w:szCs w:val="22"/>
        </w:rPr>
        <w:t xml:space="preserve">3.2</w:t>
      </w:r>
      <w:r>
        <w:rPr>
          <w:rFonts w:ascii="Calibri" w:cs="Calibri" w:eastAsia="Calibri" w:hAnsi="Calibri"/>
          <w:sz w:val="22"/>
          <w:szCs w:val="22"/>
        </w:rPr>
        <w:t xml:space="preserve"> Automatum supplies brand guidelines and approves material templates. OBP will not vary an approved template in a way that affects the Automatum Brand without approval.</w:t>
      </w:r>
    </w:p>
    <w:p>
      <w:pPr>
        <w:spacing w:after="160" w:before="0" w:line="276"/>
        <w:jc w:val="both"/>
      </w:pPr>
      <w:r>
        <w:rPr>
          <w:rFonts w:ascii="Calibri" w:cs="Calibri" w:eastAsia="Calibri" w:hAnsi="Calibri"/>
          <w:b/>
          <w:bCs/>
          <w:sz w:val="22"/>
          <w:szCs w:val="22"/>
        </w:rPr>
        <w:t xml:space="preserve">3.3</w:t>
      </w:r>
      <w:r>
        <w:rPr>
          <w:rFonts w:ascii="Calibri" w:cs="Calibri" w:eastAsia="Calibri" w:hAnsi="Calibri"/>
          <w:sz w:val="22"/>
          <w:szCs w:val="22"/>
        </w:rPr>
        <w:t xml:space="preserve"> OBP will not publish, present or reuse any material produced for a Registered Client outside that Engagement, subject to clause 16.2.</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24.4 applies. OBP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Business Hours</w:t>
      </w:r>
    </w:p>
    <w:p>
      <w:pPr>
        <w:spacing w:after="160" w:before="0" w:line="276"/>
        <w:jc w:val="both"/>
      </w:pPr>
      <w:r>
        <w:rPr>
          <w:rFonts w:ascii="Calibri" w:cs="Calibri" w:eastAsia="Calibri" w:hAnsi="Calibri"/>
          <w:sz w:val="22"/>
          <w:szCs w:val="22"/>
        </w:rPr>
        <w:t xml:space="preserve">Business Hours are 9:00 a.m. to 6:00 p.m. Eastern Time on a Business Day, unless the Engagement Order states a different coverage window for a Tier 3 Deal Desk Owner.</w:t>
      </w:r>
    </w:p>
    <w:p>
      <w:pPr>
        <w:pStyle w:val="Heading2"/>
        <w:keepNext/>
        <w:spacing w:after="140" w:before="300"/>
      </w:pPr>
      <w:r>
        <w:rPr>
          <w:rFonts w:ascii="Calibri" w:cs="Calibri" w:eastAsia="Calibri" w:hAnsi="Calibri"/>
          <w:b/>
          <w:bCs/>
          <w:sz w:val="24"/>
          <w:szCs w:val="24"/>
        </w:rPr>
        <w:t xml:space="preserve">2.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Deal Desk Request is received through the intake channel, or at the start of the next Business Hour if received outside Business Hours. The clock stops when the responsible Party delivers its output.</w:t>
      </w:r>
    </w:p>
    <w:p>
      <w:pPr>
        <w:spacing w:after="160" w:before="0" w:line="276"/>
        <w:jc w:val="both"/>
      </w:pPr>
      <w:r>
        <w:rPr>
          <w:rFonts w:ascii="Calibri" w:cs="Calibri" w:eastAsia="Calibri" w:hAnsi="Calibri"/>
          <w:sz w:val="22"/>
          <w:szCs w:val="22"/>
        </w:rPr>
        <w:t xml:space="preserve">The total turnaround is split into two legs, because Automatum issues offers as seller of record and OBP cannot control issuance. An "Issuance-Ready Package" is a completed CPPO structure, pricing, partner and end customer details and supporting documentation in the form in the Engagement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2"/>
        <w:gridCol w:w="2913"/>
        <w:gridCol w:w="3161"/>
        <w:gridCol w:w="2914"/>
      </w:tblGrid>
      <w:tr>
        <w:trPr>
          <w:tblHeader/>
        </w:trPr>
        <w:tc>
          <w:tcPr>
            <w:tcW w:type="dxa" w:w="37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29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16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Complete request to Issuance-Ready Package</w:t>
            </w:r>
          </w:p>
        </w:tc>
        <w:tc>
          <w:tcPr>
            <w:tcW w:type="dxa" w:w="29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received to offer issued</w:t>
            </w:r>
          </w:p>
        </w:tc>
      </w:tr>
      <w:tr>
        <w:trPr>
          <w:tblHeader w:val="false"/>
        </w:trPr>
        <w:tc>
          <w:tcPr>
            <w:tcW w:type="dxa" w:w="372"/>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2913"/>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161"/>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914"/>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72"/>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291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161"/>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914"/>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72"/>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91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161"/>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914"/>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The Tier 1 and Tier 2 turnarounds are deliberately defined so that they differ. Tier 1 is satisfied if the offer is issued by close of the Business Day following the Business Day of receipt, which permits up to approximately sixteen (16) Business Hours elapsed. Tier 2 is a fixed eight (8) Business Hours from receipt. Without this paragraph the two Tiers would sell the same turnaround, because a Business Day and eight Business Hours are otherwise the same period.</w:t>
      </w:r>
    </w:p>
    <w:p>
      <w:pPr>
        <w:spacing w:after="160" w:before="0" w:line="276"/>
        <w:jc w:val="both"/>
      </w:pPr>
      <w:r>
        <w:rPr>
          <w:rFonts w:ascii="Calibri" w:cs="Calibri" w:eastAsia="Calibri" w:hAnsi="Calibri"/>
          <w:sz w:val="22"/>
          <w:szCs w:val="22"/>
        </w:rPr>
        <w:t xml:space="preserve">Clause 8.2 governs attribution between the legs.</w:t>
      </w:r>
    </w:p>
    <w:p>
      <w:pPr>
        <w:pStyle w:val="Heading2"/>
        <w:keepNext/>
        <w:spacing w:after="140" w:before="300"/>
      </w:pPr>
      <w:r>
        <w:rPr>
          <w:rFonts w:ascii="Calibri" w:cs="Calibri" w:eastAsia="Calibri" w:hAnsi="Calibri"/>
          <w:b/>
          <w:bCs/>
          <w:sz w:val="24"/>
          <w:szCs w:val="24"/>
        </w:rPr>
        <w:t xml:space="preserve">3. Selling Authorizations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47"/>
        <w:gridCol w:w="4522"/>
        <w:gridCol w:w="3891"/>
      </w:tblGrid>
      <w:tr>
        <w:trPr>
          <w:tblHeader/>
        </w:trPr>
        <w:tc>
          <w:tcPr>
            <w:tcW w:type="dxa" w:w="94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452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request to submission to Automatum</w:t>
            </w:r>
          </w:p>
        </w:tc>
        <w:tc>
          <w:tcPr>
            <w:tcW w:type="dxa" w:w="38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submission to issuance</w:t>
            </w:r>
          </w:p>
        </w:tc>
      </w:tr>
      <w:tr>
        <w:trPr>
          <w:tblHeader w:val="false"/>
        </w:trPr>
        <w:tc>
          <w:tcPr>
            <w:tcW w:type="dxa" w:w="947"/>
            <w:tcMar>
              <w:top w:type="dxa" w:w="60"/>
              <w:left w:type="dxa" w:w="108"/>
              <w:bottom w:type="dxa" w:w="60"/>
              <w:right w:type="dxa" w:w="108"/>
            </w:tcMar>
          </w:tcPr>
          <w:p>
            <w:pPr>
              <w:spacing w:after="0" w:before="0" w:line="240"/>
            </w:pPr>
            <w:r>
              <w:rPr>
                <w:rFonts w:ascii="Calibri" w:cs="Calibri" w:eastAsia="Calibri" w:hAnsi="Calibri"/>
                <w:sz w:val="19"/>
                <w:szCs w:val="19"/>
              </w:rPr>
              <w:t xml:space="preserve">All Tiers</w:t>
            </w:r>
          </w:p>
        </w:tc>
        <w:tc>
          <w:tcPr>
            <w:tcW w:type="dxa" w:w="4522"/>
            <w:tcMar>
              <w:top w:type="dxa" w:w="60"/>
              <w:left w:type="dxa" w:w="108"/>
              <w:bottom w:type="dxa" w:w="60"/>
              <w:right w:type="dxa" w:w="108"/>
            </w:tcMar>
          </w:tcPr>
          <w:p>
            <w:pPr>
              <w:spacing w:after="0" w:before="0" w:line="240"/>
            </w:pPr>
            <w:r>
              <w:rPr>
                <w:rFonts w:ascii="Calibri" w:cs="Calibri" w:eastAsia="Calibri" w:hAnsi="Calibri"/>
                <w:sz w:val="19"/>
                <w:szCs w:val="19"/>
              </w:rPr>
              <w:t xml:space="preserve">2 Business Days</w:t>
            </w:r>
          </w:p>
        </w:tc>
        <w:tc>
          <w:tcPr>
            <w:tcW w:type="dxa" w:w="3891"/>
            <w:tcMar>
              <w:top w:type="dxa" w:w="60"/>
              <w:left w:type="dxa" w:w="108"/>
              <w:bottom w:type="dxa" w:w="60"/>
              <w:right w:type="dxa" w:w="108"/>
            </w:tcMar>
          </w:tcPr>
          <w:p>
            <w:pPr>
              <w:spacing w:after="0" w:before="0" w:line="240"/>
            </w:pPr>
            <w:r>
              <w:rPr>
                <w:rFonts w:ascii="Calibri" w:cs="Calibri" w:eastAsia="Calibri" w:hAnsi="Calibri"/>
                <w:sz w:val="19"/>
                <w:szCs w:val="19"/>
              </w:rPr>
              <w:t xml:space="preserve">2 Business Days</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4. Cadence commitments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6"/>
        <w:gridCol w:w="2391"/>
        <w:gridCol w:w="2391"/>
        <w:gridCol w:w="2392"/>
      </w:tblGrid>
      <w:tr>
        <w:trPr>
          <w:tblHeader/>
        </w:trPr>
        <w:tc>
          <w:tcPr>
            <w:tcW w:type="dxa" w:w="218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Commitment</w:t>
            </w:r>
          </w:p>
        </w:tc>
        <w:tc>
          <w:tcPr>
            <w:tcW w:type="dxa" w:w="23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23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23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218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twice per Engagement Year</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2392"/>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218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2392"/>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r>
        <w:trPr>
          <w:tblHeader w:val="false"/>
        </w:trPr>
        <w:tc>
          <w:tcPr>
            <w:tcW w:type="dxa" w:w="2186"/>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 reporting pack</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within 5 Business Days of month end</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within 5 Business Days of month end</w:t>
            </w:r>
          </w:p>
        </w:tc>
        <w:tc>
          <w:tcPr>
            <w:tcW w:type="dxa" w:w="2392"/>
            <w:tcMar>
              <w:top w:type="dxa" w:w="60"/>
              <w:left w:type="dxa" w:w="108"/>
              <w:bottom w:type="dxa" w:w="60"/>
              <w:right w:type="dxa" w:w="108"/>
            </w:tcMar>
          </w:tcPr>
          <w:p>
            <w:pPr>
              <w:spacing w:after="0" w:before="0" w:line="240"/>
            </w:pPr>
            <w:r>
              <w:rPr>
                <w:rFonts w:ascii="Calibri" w:cs="Calibri" w:eastAsia="Calibri" w:hAnsi="Calibri"/>
                <w:sz w:val="19"/>
                <w:szCs w:val="19"/>
              </w:rPr>
              <w:t xml:space="preserve">within 5 Business Days of month end</w:t>
            </w:r>
          </w:p>
        </w:tc>
      </w:tr>
    </w:tbl>
    <w:p>
      <w:pPr>
        <w:spacing w:after="160"/>
      </w:pPr>
      <w:r>
        <w:t xml:space="preserve"/>
      </w:r>
    </w:p>
    <w:p>
      <w:pPr>
        <w:spacing w:after="160" w:before="0" w:line="276"/>
        <w:jc w:val="both"/>
      </w:pPr>
      <w:r>
        <w:rPr>
          <w:rFonts w:ascii="Calibri" w:cs="Calibri" w:eastAsia="Calibri" w:hAnsi="Calibri"/>
          <w:sz w:val="22"/>
          <w:szCs w:val="22"/>
        </w:rPr>
        <w:t xml:space="preserve">A cadence commitment is met if the session or review is offered on at least two proposed dates within the applicable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5. Metric dictionary</w:t>
      </w:r>
    </w:p>
    <w:p>
      <w:pPr>
        <w:spacing w:after="160" w:before="0" w:line="276"/>
        <w:jc w:val="both"/>
      </w:pPr>
      <w:r>
        <w:rPr>
          <w:rFonts w:ascii="Calibri" w:cs="Calibri" w:eastAsia="Calibri" w:hAnsi="Calibri"/>
          <w:b/>
          <w:bCs/>
          <w:sz w:val="22"/>
          <w:szCs w:val="22"/>
        </w:rPr>
        <w:t xml:space="preserve">5.1 Primary metric - Offer-Issuing Partners.</w:t>
      </w:r>
      <w:r>
        <w:rPr>
          <w:rFonts w:ascii="Calibri" w:cs="Calibri" w:eastAsia="Calibri" w:hAnsi="Calibri"/>
          <w:sz w:val="22"/>
          <w:szCs w:val="22"/>
        </w:rPr>
        <w:t xml:space="preserve"> This is the metric the feasibility study calls "partners issuing offers". It is the number of distinct Recruited Partners that created at least one private offer or CPPO against the Registered Client's product during the reporting month, read from the PSR offer record and reconciled against AWS Marketplace seller reporting. This metric applies if and only if the Marketplace authorization dependency in clause 14.2 is confirmed as available by the longstop date in Schedule 8.</w:t>
      </w:r>
    </w:p>
    <w:p>
      <w:pPr>
        <w:spacing w:after="160" w:before="0" w:line="276"/>
        <w:jc w:val="both"/>
      </w:pPr>
      <w:r>
        <w:rPr>
          <w:rFonts w:ascii="Calibri" w:cs="Calibri" w:eastAsia="Calibri" w:hAnsi="Calibri"/>
          <w:b/>
          <w:bCs/>
          <w:sz w:val="22"/>
          <w:szCs w:val="22"/>
        </w:rPr>
        <w:t xml:space="preserve">5.2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This metric applies automatically under clause 14.2(c) if the dependency is not confirmed by the longstop date.</w:t>
      </w:r>
    </w:p>
    <w:p>
      <w:pPr>
        <w:spacing w:after="160" w:before="0" w:line="276"/>
        <w:jc w:val="both"/>
      </w:pPr>
      <w:r>
        <w:rPr>
          <w:rFonts w:ascii="Calibri" w:cs="Calibri" w:eastAsia="Calibri" w:hAnsi="Calibri"/>
          <w:b/>
          <w:bCs/>
          <w:sz w:val="22"/>
          <w:szCs w:val="22"/>
        </w:rPr>
        <w:t xml:space="preserve">5.3 Both metrics are defined now.</w:t>
      </w:r>
      <w:r>
        <w:rPr>
          <w:rFonts w:ascii="Calibri" w:cs="Calibri" w:eastAsia="Calibri" w:hAnsi="Calibri"/>
          <w:sz w:val="22"/>
          <w:szCs w:val="22"/>
        </w:rPr>
        <w:t xml:space="preserve"> The Parties have defined the fallback metric at the time of contracting rather than agreeing to agree it later, because if it were left open it would fall to be negotiated at the moment the dependency resolved unfavourably and the Tier table had already been published.</w:t>
      </w:r>
    </w:p>
    <w:p>
      <w:pPr>
        <w:spacing w:after="160" w:before="0" w:line="276"/>
        <w:jc w:val="both"/>
      </w:pPr>
      <w:r>
        <w:rPr>
          <w:rFonts w:ascii="Calibri" w:cs="Calibri" w:eastAsia="Calibri" w:hAnsi="Calibri"/>
          <w:b/>
          <w:bCs/>
          <w:sz w:val="22"/>
          <w:szCs w:val="22"/>
        </w:rPr>
        <w:t xml:space="preserve">5.4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7;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6.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6"/>
        <w:gridCol w:w="1248"/>
        <w:gridCol w:w="2246"/>
      </w:tblGrid>
      <w:tr>
        <w:trPr>
          <w:tblHeader/>
        </w:trPr>
        <w:tc>
          <w:tcPr>
            <w:tcW w:type="dxa" w:w="58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4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24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OBP</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OBP triages within two (2) Business Hours and routes to the correct first line. A misrouted matter is handed over within two (2) Business Hours of identification, and the service level clock for the receiving Party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 cadence</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7.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because that is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7"/>
        <w:gridCol w:w="6343"/>
      </w:tblGrid>
      <w:tr>
        <w:trPr>
          <w:tblHeader/>
        </w:trPr>
        <w:tc>
          <w:tcPr>
            <w:tcW w:type="dxa" w:w="301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34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OBP's licence term and expiry</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record threshold above which cost passes through under Schedule 1 paragraph 4]</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10.3]</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tenant with logical separation]</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10.2 warrants that the licence term outlasts the longest Engagement Order plus the transition period. Licence cost is recovered within the OBP Service Revenue and is not separately chargeable, subject to Schedule 1 paragraph 4.</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The PSR provides, for each Registered Client, under the Automatum Brand:</w:t>
      </w:r>
    </w:p>
    <w:p>
      <w:pPr>
        <w:pStyle w:val="ListParagraph"/>
        <w:numPr>
          <w:ilvl w:val="0"/>
          <w:numId w:val="1"/>
        </w:numPr>
        <w:spacing w:after="80" w:before="40" w:line="276"/>
      </w:pPr>
      <w:r>
        <w:rPr>
          <w:rFonts w:ascii="Calibri" w:cs="Calibri" w:eastAsia="Calibri" w:hAnsi="Calibri"/>
          <w:sz w:val="22"/>
          <w:szCs w:val="22"/>
        </w:rPr>
        <w:t xml:space="preserve">a partner portal for Recruited Partners;</w:t>
      </w:r>
    </w:p>
    <w:p>
      <w:pPr>
        <w:pStyle w:val="ListParagraph"/>
        <w:numPr>
          <w:ilvl w:val="0"/>
          <w:numId w:val="1"/>
        </w:numPr>
        <w:spacing w:after="80" w:before="40" w:line="276"/>
      </w:pPr>
      <w:r>
        <w:rPr>
          <w:rFonts w:ascii="Calibri" w:cs="Calibri" w:eastAsia="Calibri" w:hAnsi="Calibri"/>
          <w:sz w:val="22"/>
          <w:szCs w:val="22"/>
        </w:rPr>
        <w:t xml:space="preserve">partner onboarding workflow, including AWS registration, tax, banking and service-linked role status tracking;</w:t>
      </w:r>
    </w:p>
    <w:p>
      <w:pPr>
        <w:pStyle w:val="ListParagraph"/>
        <w:numPr>
          <w:ilvl w:val="0"/>
          <w:numId w:val="1"/>
        </w:numPr>
        <w:spacing w:after="80" w:before="40" w:line="276"/>
      </w:pPr>
      <w:r>
        <w:rPr>
          <w:rFonts w:ascii="Calibri" w:cs="Calibri" w:eastAsia="Calibri" w:hAnsi="Calibri"/>
          <w:sz w:val="22"/>
          <w:szCs w:val="22"/>
        </w:rPr>
        <w:t xml:space="preserve">deal registration, approval and decline workflow with audit history;</w:t>
      </w:r>
    </w:p>
    <w:p>
      <w:pPr>
        <w:pStyle w:val="ListParagraph"/>
        <w:numPr>
          <w:ilvl w:val="0"/>
          <w:numId w:val="1"/>
        </w:numPr>
        <w:spacing w:after="80" w:before="40" w:line="276"/>
      </w:pPr>
      <w:r>
        <w:rPr>
          <w:rFonts w:ascii="Calibri" w:cs="Calibri" w:eastAsia="Calibri" w:hAnsi="Calibri"/>
          <w:sz w:val="22"/>
          <w:szCs w:val="22"/>
        </w:rPr>
        <w:t xml:space="preserve">commission tracking and accrual against the margin schedule;</w:t>
      </w:r>
    </w:p>
    <w:p>
      <w:pPr>
        <w:pStyle w:val="ListParagraph"/>
        <w:numPr>
          <w:ilvl w:val="0"/>
          <w:numId w:val="1"/>
        </w:numPr>
        <w:spacing w:after="80" w:before="40" w:line="276"/>
      </w:pPr>
      <w:r>
        <w:rPr>
          <w:rFonts w:ascii="Calibri" w:cs="Calibri" w:eastAsia="Calibri" w:hAnsi="Calibri"/>
          <w:sz w:val="22"/>
          <w:szCs w:val="22"/>
        </w:rPr>
        <w:t xml:space="preserve">offer and Selling Authorization records, being the audit source for the metrics in Schedule 4 paragraph 5;</w:t>
      </w:r>
    </w:p>
    <w:p>
      <w:pPr>
        <w:pStyle w:val="ListParagraph"/>
        <w:numPr>
          <w:ilvl w:val="0"/>
          <w:numId w:val="1"/>
        </w:numPr>
        <w:spacing w:after="80" w:before="40" w:line="276"/>
      </w:pPr>
      <w:r>
        <w:rPr>
          <w:rFonts w:ascii="Calibri" w:cs="Calibri" w:eastAsia="Calibri" w:hAnsi="Calibri"/>
          <w:sz w:val="22"/>
          <w:szCs w:val="22"/>
        </w:rPr>
        <w:t xml:space="preserve">synchronization with HubSpot and Salesforce as specified in the Engagement Order, which states whose instances, which system is master, the direction of synchronization, and who holds the licences. Where a Registered Client's instance is in scope, the Client's cooperation is a dependency and clause 6.7 applies if it is not given;</w:t>
      </w:r>
    </w:p>
    <w:p>
      <w:pPr>
        <w:pStyle w:val="ListParagraph"/>
        <w:numPr>
          <w:ilvl w:val="0"/>
          <w:numId w:val="1"/>
        </w:numPr>
        <w:spacing w:after="80" w:before="40" w:line="276"/>
      </w:pPr>
      <w:r>
        <w:rPr>
          <w:rFonts w:ascii="Calibri" w:cs="Calibri" w:eastAsia="Calibri" w:hAnsi="Calibri"/>
          <w:sz w:val="22"/>
          <w:szCs w:val="22"/>
        </w:rPr>
        <w:t xml:space="preserve">reporting supporting the monthly reporting pack; and</w:t>
      </w:r>
    </w:p>
    <w:p>
      <w:pPr>
        <w:pStyle w:val="ListParagraph"/>
        <w:numPr>
          <w:ilvl w:val="0"/>
          <w:numId w:val="1"/>
        </w:numPr>
        <w:spacing w:after="80" w:before="40" w:line="276"/>
      </w:pPr>
      <w:r>
        <w:rPr>
          <w:rFonts w:ascii="Calibri" w:cs="Calibri" w:eastAsia="Calibri" w:hAnsi="Calibri"/>
          <w:sz w:val="22"/>
          <w:szCs w:val="22"/>
        </w:rPr>
        <w:t xml:space="preserve">the append-only event log required by clause 10.6.</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10.6. Nature and purpose: partner onboarding, deal registration, commission tracking, offer tracking and reporting. Types of Personal Data: business contact details, job titles and professional profile information of Recruited Partner and Registered Client personnel. Categories of data subject: personnel of Recruited Partners, of Registered Clients, and of the Parties. No special category data is processed.</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OBP maintains a documented machine-readable export schema with a data dictionary, versioned, covering partner records, partner agreements and status, deal registrations, the commission ledger and accruals, opportunity records and ACE identifiers, offer and Selling Authorization records, attribution configuration and outputs, and the event log. Clause 10.5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secure development lifecycle for any OBP-built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10.8 is given by the PSR vendor in favour of Automatum and provides, in substance, that on OBP's insolvency, cessation of business, or termination of this Agreement for OBP's breach, the vendor will, at Automatum's election and on Automatum's notice:</w:t>
      </w:r>
    </w:p>
    <w:p>
      <w:pPr>
        <w:pStyle w:val="ListParagraph"/>
        <w:numPr>
          <w:ilvl w:val="0"/>
          <w:numId w:val="1"/>
        </w:numPr>
        <w:spacing w:after="80" w:before="40" w:line="276"/>
      </w:pPr>
      <w:r>
        <w:rPr>
          <w:rFonts w:ascii="Calibri" w:cs="Calibri" w:eastAsia="Calibri" w:hAnsi="Calibri"/>
          <w:sz w:val="22"/>
          <w:szCs w:val="22"/>
        </w:rPr>
        <w:t xml:space="preserve">contract directly with Automatum or its nominee for the remainder of the affected Engagement Orders plus the transition period in clause 24.1;</w:t>
      </w:r>
    </w:p>
    <w:p>
      <w:pPr>
        <w:pStyle w:val="ListParagraph"/>
        <w:numPr>
          <w:ilvl w:val="0"/>
          <w:numId w:val="1"/>
        </w:numPr>
        <w:spacing w:after="80" w:before="40" w:line="276"/>
      </w:pPr>
      <w:r>
        <w:rPr>
          <w:rFonts w:ascii="Calibri" w:cs="Calibri" w:eastAsia="Calibri" w:hAnsi="Calibri"/>
          <w:sz w:val="22"/>
          <w:szCs w:val="22"/>
        </w:rPr>
        <w:t xml:space="preserve">do so at the rates OBP then pays, or at rates benchmarked to the vendor's then current list price for an equivalent volume, whichever is lower;</w:t>
      </w:r>
    </w:p>
    <w:p>
      <w:pPr>
        <w:pStyle w:val="ListParagraph"/>
        <w:numPr>
          <w:ilvl w:val="0"/>
          <w:numId w:val="1"/>
        </w:numPr>
        <w:spacing w:after="80" w:before="40" w:line="276"/>
      </w:pPr>
      <w:r>
        <w:rPr>
          <w:rFonts w:ascii="Calibri" w:cs="Calibri" w:eastAsia="Calibri" w:hAnsi="Calibri"/>
          <w:sz w:val="22"/>
          <w:szCs w:val="22"/>
        </w:rPr>
        <w:t xml:space="preserve">preserve each affected Registered Client's tenant and data intact and make it available without interruption; and</w:t>
      </w:r>
    </w:p>
    <w:p>
      <w:pPr>
        <w:pStyle w:val="ListParagraph"/>
        <w:numPr>
          <w:ilvl w:val="0"/>
          <w:numId w:val="1"/>
        </w:numPr>
        <w:spacing w:after="80" w:before="40" w:line="276"/>
      </w:pPr>
      <w:r>
        <w:rPr>
          <w:rFonts w:ascii="Calibri" w:cs="Calibri" w:eastAsia="Calibri" w:hAnsi="Calibri"/>
          <w:sz w:val="22"/>
          <w:szCs w:val="22"/>
        </w:rPr>
        <w:t xml:space="preserve">not delete or withhold tenant data for a period of at least ninety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83"/>
        <w:gridCol w:w="4177"/>
      </w:tblGrid>
      <w:tr>
        <w:trPr>
          <w:tblHeader/>
        </w:trPr>
        <w:tc>
          <w:tcPr>
            <w:tcW w:type="dxa" w:w="51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17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Year dates</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OBP-Sourced / Automatum-Sourced / Joint or ACE-Sourced</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100% OBP (Net New) / 75% OBP, 25% Automatum (Existing)</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per month</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Named Backup Channel Manager</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allocated</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PSR tenancy and partner record threshold</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system and sync direction</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CRM system of record</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form and Issuance-Ready Package form</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(Tier 3): active partners, monthly onboardings</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183"/>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to the Agreement under clause 2.3(a), if any</w:t>
            </w:r>
          </w:p>
        </w:tc>
        <w:tc>
          <w:tcPr>
            <w:tcW w:type="dxa" w:w="4177"/>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OBP.</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spacing w:after="160" w:before="0" w:line="276"/>
        <w:jc w:val="both"/>
      </w:pPr>
      <w:r>
        <w:rPr>
          <w:rFonts w:ascii="Calibri" w:cs="Calibri" w:eastAsia="Calibri" w:hAnsi="Calibri"/>
          <w:sz w:val="22"/>
          <w:szCs w:val="22"/>
        </w:rPr>
        <w:t xml:space="preserve">The committed hours and the Tier 3 coverage window are open items under Schedule 8 and are the figures the feasibility study records as "named-owner hours per tier and accounts per owner, to confirm".</w:t>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for the purpose of the accounts-per-owner 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46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Weight</w:t>
            </w:r>
          </w:p>
        </w:tc>
      </w:tr>
      <w:tr>
        <w:trPr>
          <w:tblHeader w:val="false"/>
        </w:trPr>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r>
      <w:tr>
        <w:trPr>
          <w:tblHeader w:val="false"/>
        </w:trPr>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r>
      <w:tr>
        <w:trPr>
          <w:tblHeader w:val="false"/>
        </w:trPr>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4</w:t>
            </w:r>
          </w:p>
        </w:tc>
      </w:tr>
    </w:tbl>
    <w:p>
      <w:pPr>
        <w:spacing w:after="160"/>
      </w:pPr>
      <w:r>
        <w:t xml:space="preserve"/>
      </w:r>
    </w:p>
    <w:p>
      <w:pPr>
        <w:spacing w:after="160" w:before="0" w:line="276"/>
        <w:jc w:val="both"/>
      </w:pPr>
      <w:r>
        <w:rPr>
          <w:rFonts w:ascii="Calibri" w:cs="Calibri" w:eastAsia="Calibri" w:hAnsi="Calibri"/>
          <w:sz w:val="22"/>
          <w:szCs w:val="22"/>
        </w:rPr>
        <w:t xml:space="preserve">A Channel Manager may hold at most twelve (12) weighted points, and at most four (4) Tier 3 Engagements, whichever limit binds first. Clause 9.7 makes exceeding a ratio an independent breach, actionable before any service level has been missed, because ratio breach is the leading indicator of service failure and service failure is the lagging one.</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26.2</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sz w:val="22"/>
          <w:szCs w:val="22"/>
        </w:rPr>
        <w:t xml:space="preserve">Three classes of open item, following the convention in the feasibility study:</w:t>
      </w:r>
    </w:p>
    <w:p>
      <w:pPr>
        <w:pStyle w:val="ListParagraph"/>
        <w:numPr>
          <w:ilvl w:val="0"/>
          <w:numId w:val="1"/>
        </w:numPr>
        <w:spacing w:after="80" w:before="40" w:line="276"/>
      </w:pPr>
      <w:r>
        <w:rPr>
          <w:rFonts w:ascii="Calibri" w:cs="Calibri" w:eastAsia="Calibri" w:hAnsi="Calibri"/>
          <w:b/>
          <w:bCs/>
          <w:sz w:val="22"/>
          <w:szCs w:val="22"/>
        </w:rPr>
        <w:t xml:space="preserve">to supply</w:t>
      </w:r>
      <w:r>
        <w:rPr>
          <w:rFonts w:ascii="Calibri" w:cs="Calibri" w:eastAsia="Calibri" w:hAnsi="Calibri"/>
          <w:sz w:val="22"/>
          <w:szCs w:val="22"/>
        </w:rPr>
        <w:t xml:space="preserve"> - a known fact awaiting transcription. No commercial content.</w:t>
      </w:r>
    </w:p>
    <w:p>
      <w:pPr>
        <w:pStyle w:val="ListParagraph"/>
        <w:numPr>
          <w:ilvl w:val="0"/>
          <w:numId w:val="1"/>
        </w:numPr>
        <w:spacing w:after="80" w:before="40" w:line="276"/>
      </w:pPr>
      <w:r>
        <w:rPr>
          <w:rFonts w:ascii="Calibri" w:cs="Calibri" w:eastAsia="Calibri" w:hAnsi="Calibri"/>
          <w:b/>
          <w:bCs/>
          <w:sz w:val="22"/>
          <w:szCs w:val="22"/>
        </w:rPr>
        <w:t xml:space="preserve">to confirm</w:t>
      </w:r>
      <w:r>
        <w:rPr>
          <w:rFonts w:ascii="Calibri" w:cs="Calibri" w:eastAsia="Calibri" w:hAnsi="Calibri"/>
          <w:sz w:val="22"/>
          <w:szCs w:val="22"/>
        </w:rPr>
        <w:t xml:space="preserve"> - a commercial figure requiring a decision or a test. Every such item inside an operative obligation carries a default that applies if this Agreement is executed before the item is closed.</w:t>
      </w:r>
    </w:p>
    <w:p>
      <w:pPr>
        <w:pStyle w:val="ListParagraph"/>
        <w:numPr>
          <w:ilvl w:val="0"/>
          <w:numId w:val="1"/>
        </w:numPr>
        <w:spacing w:after="80" w:before="40" w:line="276"/>
      </w:pPr>
      <w:r>
        <w:rPr>
          <w:rFonts w:ascii="Calibri" w:cs="Calibri" w:eastAsia="Calibri" w:hAnsi="Calibri"/>
          <w:b/>
          <w:bCs/>
          <w:sz w:val="22"/>
          <w:szCs w:val="22"/>
        </w:rPr>
        <w:t xml:space="preserve">to verify</w:t>
      </w:r>
      <w:r>
        <w:rPr>
          <w:rFonts w:ascii="Calibri" w:cs="Calibri" w:eastAsia="Calibri" w:hAnsi="Calibri"/>
          <w:sz w:val="22"/>
          <w:szCs w:val="22"/>
        </w:rPr>
        <w:t xml:space="preserve"> - an external dependency neither Party controls, resolved by the machinery in clause 14 and never by assumption.</w:t>
      </w:r>
    </w:p>
    <w:p>
      <w:pPr>
        <w:spacing w:after="160" w:before="0" w:line="276"/>
        <w:jc w:val="both"/>
      </w:pPr>
      <w:r>
        <w:rPr>
          <w:rFonts w:ascii="Calibri" w:cs="Calibri" w:eastAsia="Calibri" w:hAnsi="Calibri"/>
          <w:sz w:val="22"/>
          <w:szCs w:val="22"/>
        </w:rPr>
        <w:t xml:space="preserve">This register must read nil before execution. Any item marked "to confirm" that is still open at execution takes its stated default.</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
        <w:gridCol w:w="2773"/>
        <w:gridCol w:w="3259"/>
      </w:tblGrid>
      <w:tr>
        <w:trPr>
          <w:tblHeader/>
        </w:trPr>
        <w:tc>
          <w:tcPr>
            <w:tcW w:type="dxa" w:w="31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0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25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being the earlier of 45 days from the Effective Date and first publication of the Tier table]</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5.2 applies automatically under clause 14.2(c). Neither Party is in breach and neither is liable.</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10.8</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 under clause 10.8.</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the service levels in Schedule 4 and the Tier 3 roster</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may be published and no Engagement Order may be executed at an untested Tier. Clause 14.4.</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The figures in Schedule 2 assume engagement fees are invoiced by Automatum to the Client directly and not transacted through AWS Marketplace, so that no Marketplace listing fee reduces them. The study's own arithmetic assumes this: at Tier 1 the stated $9,999 and $20,001 sum to exactly $30,000, leaving no room for a listing fee. If engagement fees are later transacted through Marketplace, a listing fee of approximately three percent (3%) would be $900, $1,800 and $2,700 per Engagement Year at Tiers 1, 2 and 3, and its allocation must be agreed under clause 11.10 before that arrangement begins.</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It is assumed that Automatum's $9,999 Enterprise tier is committed annually. Under the pro rata accrual in clause 11.3, an Engagement terminating at the end of Engagement Month 3 recovers only $2,499.75 of it. Closing that gap is a matter for the Client Agreement, by a minimum term with an early termination charge, or by a monthly-cancellable Enterprise tier on Automatum's side, or by Automatum accepting early churn as its own loss. </w:t>
      </w:r>
      <w:r>
        <w:rPr>
          <w:rFonts w:ascii="Calibri" w:cs="Calibri" w:eastAsia="Calibri" w:hAnsi="Calibri"/>
          <w:b/>
          <w:bCs/>
          <w:sz w:val="22"/>
          <w:szCs w:val="22"/>
        </w:rPr>
        <w:t xml:space="preserve">Open commercial item: which of these applies.</w:t>
      </w:r>
      <w:r>
        <w:rPr>
          <w:rFonts w:ascii="Calibri" w:cs="Calibri" w:eastAsia="Calibri" w:hAnsi="Calibri"/>
          <w:sz w:val="22"/>
          <w:szCs w:val="22"/>
        </w:rPr>
        <w:t xml:space="preserve"> Default if not closed: Automatum bears the shortfall, as Schedule 2 paragraph 3 states.</w:t>
      </w:r>
    </w:p>
    <w:p>
      <w:pPr>
        <w:spacing w:after="160" w:before="0" w:line="276"/>
        <w:jc w:val="both"/>
      </w:pPr>
      <w:r>
        <w:rPr>
          <w:rFonts w:ascii="Calibri" w:cs="Calibri" w:eastAsia="Calibri" w:hAnsi="Calibri"/>
          <w:b/>
          <w:bCs/>
          <w:sz w:val="22"/>
          <w:szCs w:val="22"/>
        </w:rPr>
        <w:t xml:space="preserve">3.3 Tier 1 cost to serve.</w:t>
      </w:r>
      <w:r>
        <w:rPr>
          <w:rFonts w:ascii="Calibri" w:cs="Calibri" w:eastAsia="Calibri" w:hAnsi="Calibri"/>
          <w:sz w:val="22"/>
          <w:szCs w:val="22"/>
        </w:rPr>
        <w:t xml:space="preserve"> The feasibility study records that PSR licensing was "stress-tested against the lowest tier" but records nothing about labour. At Tier 1 the OBP Service Revenue of $20,001 per Engagement Year funds a named Channel Manager, a named Backup, a deal desk answering by close of the next Business Day, two training sessions, four Channel Reviews, up to six partner recruitments and the PSR licence. </w:t>
      </w:r>
      <w:r>
        <w:rPr>
          <w:rFonts w:ascii="Calibri" w:cs="Calibri" w:eastAsia="Calibri" w:hAnsi="Calibri"/>
          <w:b/>
          <w:bCs/>
          <w:sz w:val="22"/>
          <w:szCs w:val="22"/>
        </w:rPr>
        <w:t xml:space="preserve">Open commercial item: whether Tier 1 is viable at that price.</w:t>
      </w:r>
      <w:r>
        <w:rPr>
          <w:rFonts w:ascii="Calibri" w:cs="Calibri" w:eastAsia="Calibri" w:hAnsi="Calibri"/>
          <w:sz w:val="22"/>
          <w:szCs w:val="22"/>
        </w:rPr>
        <w:t xml:space="preserve"> This Agreement does not resolve it and neither Party has warranted that it is.</w:t>
      </w:r>
    </w:p>
    <w:p>
      <w:pPr>
        <w:spacing w:after="160" w:before="0" w:line="276"/>
        <w:jc w:val="both"/>
      </w:pPr>
      <w:r>
        <w:rPr>
          <w:rFonts w:ascii="Calibri" w:cs="Calibri" w:eastAsia="Calibri" w:hAnsi="Calibri"/>
          <w:b/>
          <w:bCs/>
          <w:sz w:val="22"/>
          <w:szCs w:val="22"/>
        </w:rPr>
        <w:t xml:space="preserve">3.4 Automatum's margin as prime.</w:t>
      </w:r>
      <w:r>
        <w:rPr>
          <w:rFonts w:ascii="Calibri" w:cs="Calibri" w:eastAsia="Calibri" w:hAnsi="Calibri"/>
          <w:sz w:val="22"/>
          <w:szCs w:val="22"/>
        </w:rPr>
        <w:t xml:space="preserve"> On a Net New Client at Tier 3 the Platform Revenue is 11.1% of gross, and Automatum carries client credit risk, service level liability, collection risk and the client relationship. </w:t>
      </w:r>
      <w:r>
        <w:rPr>
          <w:rFonts w:ascii="Calibri" w:cs="Calibri" w:eastAsia="Calibri" w:hAnsi="Calibri"/>
          <w:b/>
          <w:bCs/>
          <w:sz w:val="22"/>
          <w:szCs w:val="22"/>
        </w:rPr>
        <w:t xml:space="preserve">Open commercial item: whether the Platform Revenue is a margin or a pass-through of Automatum's own cost.</w:t>
      </w:r>
      <w:r>
        <w:rPr>
          <w:rFonts w:ascii="Calibri" w:cs="Calibri" w:eastAsia="Calibri" w:hAnsi="Calibri"/>
          <w:sz w:val="22"/>
          <w:szCs w:val="22"/>
        </w:rPr>
        <w:t xml:space="preserve"> The feasibility study does not say. Clause 11.2(b) resolves the equivalent question for an Existing Automatum Client by giving Automatum a 25% share of Service Revenue; no equivalent management fee applies to a Net New Client, where Automatum's return is the Platform Revenue alone.</w:t>
      </w:r>
    </w:p>
    <w:p>
      <w:pPr>
        <w:spacing w:after="160" w:before="0" w:line="276"/>
        <w:jc w:val="both"/>
      </w:pPr>
      <w:r>
        <w:rPr>
          <w:rFonts w:ascii="Calibri" w:cs="Calibri" w:eastAsia="Calibri" w:hAnsi="Calibri"/>
          <w:b/>
          <w:bCs/>
          <w:sz w:val="22"/>
          <w:szCs w:val="22"/>
        </w:rPr>
        <w:t xml:space="preserve">3.5 Stress testing at the wrong end.</w:t>
      </w:r>
      <w:r>
        <w:rPr>
          <w:rFonts w:ascii="Calibri" w:cs="Calibri" w:eastAsia="Calibri" w:hAnsi="Calibri"/>
          <w:sz w:val="22"/>
          <w:szCs w:val="22"/>
        </w:rPr>
        <w:t xml:space="preserve"> PSR licensing was stress-tested against Tier 1, the cheapest and most predictable case, while Tier 3 carries an uncapped roster. If the PSR is priced per partner or per seat, Tier 3 is where the model breaks. Schedule 5 Part A records this as a question to close, and Schedule 1 paragraph 4 provides the pass-through if the answer is unfavourable.</w:t>
      </w:r>
    </w:p>
    <w:p>
      <w:pPr>
        <w:spacing w:after="160" w:before="0" w:line="276"/>
        <w:jc w:val="both"/>
      </w:pPr>
      <w:r>
        <w:rPr>
          <w:rFonts w:ascii="Calibri" w:cs="Calibri" w:eastAsia="Calibri" w:hAnsi="Calibri"/>
          <w:b/>
          <w:bCs/>
          <w:sz w:val="22"/>
          <w:szCs w:val="22"/>
        </w:rPr>
        <w:t xml:space="preserve">3.6 AWS is not committed.</w:t>
      </w:r>
      <w:r>
        <w:rPr>
          <w:rFonts w:ascii="Calibri" w:cs="Calibri" w:eastAsia="Calibri" w:hAnsi="Calibri"/>
          <w:sz w:val="22"/>
          <w:szCs w:val="22"/>
        </w:rPr>
        <w:t xml:space="preserve"> The feasibility study's reference to five ACE opportunity submissions is recorded as a programme assumption only. It is not a commitment by AWS, by Automatum or by OBP, and clause 13.3 governs.</w:t>
      </w:r>
    </w:p>
    <w:p>
      <w:pPr>
        <w:spacing w:after="160" w:before="0" w:line="276"/>
        <w:jc w:val="both"/>
      </w:pPr>
      <w:r>
        <w:rPr>
          <w:rFonts w:ascii="Calibri" w:cs="Calibri" w:eastAsia="Calibri" w:hAnsi="Calibri"/>
          <w:b/>
          <w:bCs/>
          <w:sz w:val="22"/>
          <w:szCs w:val="22"/>
        </w:rPr>
        <w:t xml:space="preserve">3.7 Partner AWS prerequisites.</w:t>
      </w:r>
      <w:r>
        <w:rPr>
          <w:rFonts w:ascii="Calibri" w:cs="Calibri" w:eastAsia="Calibri" w:hAnsi="Calibri"/>
          <w:sz w:val="22"/>
          <w:szCs w:val="22"/>
        </w:rPr>
        <w:t xml:space="preserve"> Recruited Partner timelines depend on the partner completing AWS registration, tax, banking and service-linked role requirements, which is outside the control of either Party and of the Registered Client. Clause 8.3 and Schedule 1 paragraph 6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80"/>
        <w:gridCol w:w="780"/>
      </w:tblGrid>
      <w:tr>
        <w:trPr>
          <w:tblHeader/>
        </w:trPr>
        <w:tc>
          <w:tcPr>
            <w:tcW w:type="dxa" w:w="85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7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addresses and notice addresses, including the address for legal notices under clause 26.5</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Effective Date</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Channel Manager and Tier 3 Deal Desk Owner per Engagement</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OBP files partner-sourced opportunities under clause 5.11</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The BOX solution identifier under clause 13.4</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The tie-break where overlapping offerings are of equal tier, under clause 13.6</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36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 (Schedule 5 Part A)</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plus the Registered Client's nominated administrators and every Recruited Partner on the roster</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 (Schedule 7 paragraph 1)</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for Tier 3</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Four (4) onboardings per month and six (6) concurrent</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Thirty (30) active partners and four (4) onboardings per month</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OBP's licence, failing which no pass-through applies</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4 applies</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Terms chosen as market defaults</w:t>
      </w:r>
    </w:p>
    <w:p>
      <w:pPr>
        <w:spacing w:after="160" w:before="0" w:line="276"/>
        <w:jc w:val="both"/>
      </w:pPr>
      <w:r>
        <w:rPr>
          <w:rFonts w:ascii="Calibri" w:cs="Calibri" w:eastAsia="Calibri" w:hAnsi="Calibri"/>
          <w:sz w:val="22"/>
          <w:szCs w:val="22"/>
        </w:rPr>
        <w:t xml:space="preserve">These numbers are not in the feasibility study. They are drafted as market-standard defaults and are flagged here so that they receive a deliberate decision rather than passing silently: the service credit caps in clause 8.5; the liability caps in clauses 21.3 and 21.4; the non-circumvention tail in clause 15.2 and the liquidated sums in clauses 15.6 and 15.7; the payment terms and longstop in clause 11.5; the Initial Term in clause 23.1; and the transition period in clause 24.1.</w:t>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Practices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Practices white label delivery agreement</dc:description>
  <cp:lastModifiedBy>Un-named</cp:lastModifiedBy>
  <cp:revision>1</cp:revision>
  <dcterms:created xsi:type="dcterms:W3CDTF">2026-09-20T21:57:16.527Z</dcterms:created>
  <dcterms:modified xsi:type="dcterms:W3CDTF">2026-09-20T21:57:16.539Z</dcterms:modified>
</cp:coreProperties>
</file>

<file path=docProps/custom.xml><?xml version="1.0" encoding="utf-8"?>
<Properties xmlns="http://schemas.openxmlformats.org/officeDocument/2006/custom-properties" xmlns:vt="http://schemas.openxmlformats.org/officeDocument/2006/docPropsVTypes"/>
</file>