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Managed Partner Development is OBVG's service. OBVG developed it and it forms part of the OBVG Materials. Under it a software vendor with a live AWS Marketplace listing engages a single provider to build and run its reseller channel on AWS. Automatum sells it under the Automatum Brand on the terms of this Agreement.</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faces each client. OBVG performs the channel function as Automatum's subcontractor under Automatum's brand and is not presented to the client as a separate provider. The arrangement is non-exclusive.</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OBVG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OBVG is not a party to any partner agreement as principal</w:t>
      </w:r>
      <w:r>
        <w:rPr>
          <w:rFonts w:ascii="Calibri" w:cs="Calibri" w:eastAsia="Calibri" w:hAnsi="Calibri"/>
          <w:sz w:val="22"/>
          <w:szCs w:val="22"/>
        </w:rPr>
        <w:t xml:space="preserve"> and will not enter into one in its own name. OBVG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and the Solution,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OBVG's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OBVG a non-exclusive, non-transferable, royalty-free licence for the Term and any transition period under clause 24.3 to use the Automatum Brand solely to perform the Services under Schedule 3 and its obligations under clause 24.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which state for each what starts and stops the clock, the measurement source, and the division between the OBVG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OBVG is responsible only for the OBVG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This is a request to remove the person from the Engagement, not a direction to dismiss or discipline,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licence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licence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OBVG,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OBVG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in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in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OBVG working with firms it has recruited would protect no legitimate interest.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licence in clause 16.4,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Service IP.</w:t>
      </w:r>
      <w:r>
        <w:rPr>
          <w:rFonts w:ascii="Calibri" w:cs="Calibri" w:eastAsia="Calibri" w:hAnsi="Calibri"/>
          <w:sz w:val="22"/>
          <w:szCs w:val="22"/>
        </w:rPr>
        <w:t xml:space="preserve"> All intellectual property created in performing the Services vests in OBVG on creation and forms part of the OBVG Materials, including any improvement, refinement, extension or derivative of the OBVG Materials or the PSR and any methodology, playbook, template, curriculum or process developed in the course of an Engagement. No intellectual property is owned jointly under this Agreement. No approval, instruction, specification, requirement, feedback or other contribution by Automatum or a Registered Client gives Automatum or that Client ownership of, or any interest in, the OBVG Materials. Automatum's rights in the OBVG Materials are the licences expressly granted in this Agreement and no others.</w:t>
      </w:r>
    </w:p>
    <w:p>
      <w:pPr>
        <w:spacing w:after="160" w:before="0" w:line="276"/>
        <w:jc w:val="both"/>
      </w:pPr>
      <w:r>
        <w:rPr>
          <w:rFonts w:ascii="Calibri" w:cs="Calibri" w:eastAsia="Calibri" w:hAnsi="Calibri"/>
          <w:b/>
          <w:bCs/>
          <w:sz w:val="22"/>
          <w:szCs w:val="22"/>
        </w:rPr>
        <w:t xml:space="preserve">16.3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16.4 Client-facing deliverables.</w:t>
      </w:r>
      <w:r>
        <w:rPr>
          <w:rFonts w:ascii="Calibri" w:cs="Calibri" w:eastAsia="Calibri" w:hAnsi="Calibri"/>
          <w:sz w:val="22"/>
          <w:szCs w:val="22"/>
        </w:rPr>
        <w:t xml:space="preserve"> OBVG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 It is limited to those deliverables as produced for that Registered Client and gives Automatum no right in the OBVG Materials from which they were produced.</w:t>
      </w:r>
    </w:p>
    <w:p>
      <w:pPr>
        <w:spacing w:after="160" w:before="0" w:line="276"/>
        <w:jc w:val="both"/>
      </w:pPr>
      <w:r>
        <w:rPr>
          <w:rFonts w:ascii="Calibri" w:cs="Calibri" w:eastAsia="Calibri" w:hAnsi="Calibri"/>
          <w:b/>
          <w:bCs/>
          <w:sz w:val="22"/>
          <w:szCs w:val="22"/>
        </w:rPr>
        <w:t xml:space="preserve">16.5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7.1,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16.4.</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OBVG continues to perform the Services, the service levels continue to apply, and clause 7 continues to apply so that no Client or Recruited Partner learns of OBVG's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16.4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OBVG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obligation is throughput:</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OBVG's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OBVG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OBVG,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has recovered $2,499.75 of the $9,999 it commits annually for its Enterprise tier; that shortfall follows from the pro rata accrual in clause 11.2 and is addressed, if at all, in the Client Agreement. Schedule 8 paragraph 3.2 records it as an open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1"/>
        <w:gridCol w:w="7399"/>
      </w:tblGrid>
      <w:tr>
        <w:trPr>
          <w:tblHeader/>
        </w:trPr>
        <w:tc>
          <w:tcPr>
            <w:tcW w:type="dxa" w:w="196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9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OBVG forfeits its share of any early termination charge and funds transition assistance under clause 24.1.</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OBVG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OBVG's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about an individual go to OBVG's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OBVG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OBVG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OBVG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41"/>
        <w:gridCol w:w="4519"/>
      </w:tblGrid>
      <w:tr>
        <w:trPr>
          <w:tblHeader/>
        </w:trPr>
        <w:tc>
          <w:tcPr>
            <w:tcW w:type="dxa" w:w="484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5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 75% OBVG, 25% Automatum (Existing)</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OBVG.</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b/>
          <w:bCs/>
          <w:sz w:val="22"/>
          <w:szCs w:val="22"/>
        </w:rPr>
        <w:t xml:space="preserve">to supply</w:t>
      </w:r>
      <w:r>
        <w:rPr>
          <w:rFonts w:ascii="Calibri" w:cs="Calibri" w:eastAsia="Calibri" w:hAnsi="Calibri"/>
          <w:sz w:val="22"/>
          <w:szCs w:val="22"/>
        </w:rPr>
        <w:t xml:space="preserve"> is a fact awaiting transcription. </w:t>
      </w:r>
      <w:r>
        <w:rPr>
          <w:rFonts w:ascii="Calibri" w:cs="Calibri" w:eastAsia="Calibri" w:hAnsi="Calibri"/>
          <w:b/>
          <w:bCs/>
          <w:sz w:val="22"/>
          <w:szCs w:val="22"/>
        </w:rPr>
        <w:t xml:space="preserve">to confirm</w:t>
      </w:r>
      <w:r>
        <w:rPr>
          <w:rFonts w:ascii="Calibri" w:cs="Calibri" w:eastAsia="Calibri" w:hAnsi="Calibri"/>
          <w:sz w:val="22"/>
          <w:szCs w:val="22"/>
        </w:rPr>
        <w:t xml:space="preserve"> is a commercial figure needing a decision or test; each one inside an operative obligation takes the default in paragraph 5 if this Agreement is executed first. </w:t>
      </w:r>
      <w:r>
        <w:rPr>
          <w:rFonts w:ascii="Calibri" w:cs="Calibri" w:eastAsia="Calibri" w:hAnsi="Calibri"/>
          <w:b/>
          <w:bCs/>
          <w:sz w:val="22"/>
          <w:szCs w:val="22"/>
        </w:rPr>
        <w:t xml:space="preserve">to verify</w:t>
      </w:r>
      <w:r>
        <w:rPr>
          <w:rFonts w:ascii="Calibri" w:cs="Calibri" w:eastAsia="Calibri" w:hAnsi="Calibri"/>
          <w:sz w:val="22"/>
          <w:szCs w:val="22"/>
        </w:rPr>
        <w:t xml:space="preserve"> is an external dependency, resolved by clause 14 and never by assumption. This register must read nil before execution.</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published and no Engagement Order executed at an untested Tier. Clause 14.4.</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Schedule 2 assumes engagement fees are invoiced by Automatum to the Client directly, not transacted through AWS Marketplace, so no listing fee reduces them. The figures require it: at Tier 1, $9,999 and $20,001 sum to exactly $30,000, leaving no room for a listing fee. If engagement fees are later transacted through Marketplace, a listing fee of approximately 3% would be $900, $1,800 and $2,700 per Engagement Year at Tiers 1 to 3, and its allocation must be agreed under clause 11.9.</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Automatum's $9,999 is assumed to be committed annually. Under the pro rata accrual in clause 11.2, an Engagement terminating at the end of Engagement Month 3 recovers only $2,499.75 of it. </w:t>
      </w:r>
      <w:r>
        <w:rPr>
          <w:rFonts w:ascii="Calibri" w:cs="Calibri" w:eastAsia="Calibri" w:hAnsi="Calibri"/>
          <w:b/>
          <w:bCs/>
          <w:sz w:val="22"/>
          <w:szCs w:val="22"/>
        </w:rPr>
        <w:t xml:space="preserve">Open commercial item: whether the Client Agreement carries a minimum term with an early termination charge, whether Automatum's Enterprise tier is monthly cancellable, or whether Automatum accepts early churn as its own loss.</w:t>
      </w:r>
      <w:r>
        <w:rPr>
          <w:rFonts w:ascii="Calibri" w:cs="Calibri" w:eastAsia="Calibri" w:hAnsi="Calibri"/>
          <w:sz w:val="22"/>
          <w:szCs w:val="22"/>
        </w:rPr>
        <w:t xml:space="preserve"> Default if not closed: Automatum bears the shortfall.</w:t>
      </w:r>
    </w:p>
    <w:p>
      <w:pPr>
        <w:spacing w:after="160" w:before="0" w:line="276"/>
        <w:jc w:val="both"/>
      </w:pPr>
      <w:r>
        <w:rPr>
          <w:rFonts w:ascii="Calibri" w:cs="Calibri" w:eastAsia="Calibri" w:hAnsi="Calibri"/>
          <w:b/>
          <w:bCs/>
          <w:sz w:val="22"/>
          <w:szCs w:val="22"/>
        </w:rPr>
        <w:t xml:space="preserve">3.3 Cost to serve.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3.4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6"/>
        <w:gridCol w:w="834"/>
      </w:tblGrid>
      <w:tr>
        <w:trPr>
          <w:tblHeader/>
        </w:trPr>
        <w:tc>
          <w:tcPr>
            <w:tcW w:type="dxa" w:w="85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8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OBVG files partner-sourced opportunities under clause 5.1(j)</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licence, failing which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Venture Group white label delivery agreement</dc:description>
  <cp:lastModifiedBy>Un-named</cp:lastModifiedBy>
  <cp:revision>1</cp:revision>
  <dcterms:created xsi:type="dcterms:W3CDTF">2026-09-21T01:58:56.955Z</dcterms:created>
  <dcterms:modified xsi:type="dcterms:W3CDTF">2026-09-21T01:58:56.967Z</dcterms:modified>
</cp:coreProperties>
</file>

<file path=docProps/custom.xml><?xml version="1.0" encoding="utf-8"?>
<Properties xmlns="http://schemas.openxmlformats.org/officeDocument/2006/custom-properties" xmlns:vt="http://schemas.openxmlformats.org/officeDocument/2006/docPropsVTypes"/>
</file>