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Agreement is made as of [to supply: Effective Date] between </w:t>
      </w: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 </w:t>
      </w:r>
      <w:r>
        <w:rPr>
          <w:rFonts w:ascii="Calibri" w:cs="Calibri" w:eastAsia="Calibri" w:hAnsi="Calibri"/>
          <w:b/>
          <w:bCs/>
          <w:sz w:val="22"/>
          <w:szCs w:val="22"/>
        </w:rPr>
        <w:t xml:space="preserve">[to supply: Only Best Venture Group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OBVG principal address] ("</w:t>
      </w:r>
      <w:r>
        <w:rPr>
          <w:rFonts w:ascii="Calibri" w:cs="Calibri" w:eastAsia="Calibri" w:hAnsi="Calibri"/>
          <w:b/>
          <w:bCs/>
          <w:sz w:val="22"/>
          <w:szCs w:val="22"/>
        </w:rPr>
        <w:t xml:space="preserve">OBVG</w:t>
      </w:r>
      <w:r>
        <w:rPr>
          <w:rFonts w:ascii="Calibri" w:cs="Calibri" w:eastAsia="Calibri" w:hAnsi="Calibri"/>
          <w:sz w:val="22"/>
          <w:szCs w:val="22"/>
        </w:rPr>
        <w:t xml:space="preserve">"). Each is a "Party".</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it. OBVG operates a managed channel function and licenses and operates a partner system of record.</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The Parties have developed Managed Partner Development, under which a software vendor with a live AWS Marketplace listing engages a single provider to build and run its reseller channel on AWS.</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Automatum contracts with, invoices and faces each client. OBVG performs the channel function as Automatum's subcontractor under Automatum's brand and is not presented to the client as a separate provider. The arrangement is non-exclusive.</w:t>
      </w:r>
    </w:p>
    <w:p>
      <w:pPr>
        <w:spacing w:after="160" w:before="0" w:line="276"/>
        <w:jc w:val="both"/>
      </w:pPr>
      <w:r>
        <w:rPr>
          <w:rFonts w:ascii="Calibri" w:cs="Calibri" w:eastAsia="Calibri" w:hAnsi="Calibri"/>
          <w:sz w:val="22"/>
          <w:szCs w:val="22"/>
        </w:rPr>
        <w:t xml:space="preserve">The Parties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in the preceding 365 days, whatever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 "</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 "</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names, logos, marks, domains, email domains, templates and other brand assets Automatum makes available to OBVG.</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 "</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an Engagement Order states a different coverage window.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governance session with a Registered Client covering partner pipeline, partner performance, the headline metric and remediation, at the Tier cadence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 software vendor that contracts with Automatum for the Solution. "</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under which Automatum supplies the Solution to a Client. "</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under its Client Agreement for the Solution, excluding Taxes and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created, collected, processed or stored in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OBVG-Sourced, Automatum-Sourced, or Joint or ACE-Sourced, determined under clause 4.7. "</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Collected Client Fees</w:t>
      </w:r>
      <w:r>
        <w:rPr>
          <w:rFonts w:ascii="Calibri" w:cs="Calibri" w:eastAsia="Calibri" w:hAnsi="Calibri"/>
          <w:sz w:val="22"/>
          <w:szCs w:val="22"/>
        </w:rPr>
        <w:t xml:space="preserve">" means, for a Registered Client and an Engagement Month, the Client Fees actually received by Automatum for that month, net of Taxes, payment processing fees, and any AWS Marketplace listing fee to the extent clause 11.9 applies.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by or for a Recruited Partner or Registered Client to structure, price, register or progress a CPPO, submitted through the intake channel in the form specified in the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supply of the Solution to one Registered Client under one Engagement Order. "</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one, during which an Engagement is in effect. "</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12 consecutive months from the start date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in the form of Schedule 6, executed by both Parties, adding a Client to the Client Registry and engaging OBVG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in the 90 days before, subscribes or subscribed to Automatum's Enterprise tier or any other paid Automatum subscription. "</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any other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OBVG so that Automatum can issue the offer.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Materials</w:t>
      </w:r>
      <w:r>
        <w:rPr>
          <w:rFonts w:ascii="Calibri" w:cs="Calibri" w:eastAsia="Calibri" w:hAnsi="Calibri"/>
          <w:sz w:val="22"/>
          <w:szCs w:val="22"/>
        </w:rPr>
        <w:t xml:space="preserve">" means the methodologies, playbooks, templates, partner agreement and margin schedule forms, curricula, enablement content, processes and know-how OBVG owns or licenses and uses in delivering the Services, together with the PSR.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Service Revenue</w:t>
      </w:r>
      <w:r>
        <w:rPr>
          <w:rFonts w:ascii="Calibri" w:cs="Calibri" w:eastAsia="Calibri" w:hAnsi="Calibri"/>
          <w:sz w:val="22"/>
          <w:szCs w:val="22"/>
        </w:rPr>
        <w:t xml:space="preserve">" means OBVG's share of Service Revenue under clause 11.2.</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for a Registered Client and a measurement period, a Recruited Partner that issued at least one CPPO against that Client's listing in that period, as recorded in the PSR and determined under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OBVG under clause 10 and Schedule 5, providing partner portal, onboarding, deal registration and commission tracking,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subject to any Privacy Law. "</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on the protection of Personal Data applicable to a Party's performance.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$9,999 per Engagement Year, being the price of Automatum's Enterprise tier. It belongs to Automatum in every case.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OBVG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entered in the Client Registry under clause 4 for which an Engagement Order is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Automatum must give a Registered Client under its Client Agreement for failing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Clause 11.2 divides it.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OBVG performs under clause 5 and Schedule 1. "</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in Schedule 1. "</w:t>
      </w:r>
      <w:r>
        <w:rPr>
          <w:rFonts w:ascii="Calibri" w:cs="Calibri" w:eastAsia="Calibri" w:hAnsi="Calibri"/>
          <w:b/>
          <w:bCs/>
          <w:sz w:val="22"/>
          <w:szCs w:val="22"/>
        </w:rPr>
        <w:t xml:space="preserve">Tier</w:t>
      </w:r>
      <w:r>
        <w:rPr>
          <w:rFonts w:ascii="Calibri" w:cs="Calibri" w:eastAsia="Calibri" w:hAnsi="Calibri"/>
          <w:sz w:val="22"/>
          <w:szCs w:val="22"/>
        </w:rPr>
        <w:t xml:space="preserve">" means Tier 1, 2 or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sz w:val="22"/>
          <w:szCs w:val="22"/>
        </w:rPr>
        <w:t xml:space="preserve">Headings do not affect interpretation. "Including" is not limiting. "$" means United States dollars and all amounts exclude Taxes. References to clauses and Schedules are to this Agreement, and the Schedules form part of it. The singular includes the plural. A reference to a statute or AWS Program Term is to it as amended or replaced. No rule of construction operates against the drafter.</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An Engagement Order incorporates this Agreement by reference and takes effect when signed by both Parties.</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On conflict, the following prevails in descending order: an Engagement Order, but only for its own Engagement and only where it expressly identifies the provision it varies; these clauses; the Schedules.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A Client Agreement is not part of this Agreement, does not bind OBVG, and cannot vary it. Clause 6.5 governs flow-down.</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OBVG as a delivery subcontractor to perform the Services for Registered Clients under the Automatum Brand, and OBVG accepts.</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both ways. Automatum may perform the Services itself or appoint others for any client, and OBVG may provide the same or similar services to anyone, including another AWS Marketplace seller. This is subject only to clause 15, which operates solely in respect of Registered Clients and Recruited Partners.</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commits to no minimum number of Engagements, Registered Clients or Client Fees, and OBVG has not relied on any forecast, projection or business case exchanged before the Effective Date.</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OBVG is an independent contractor, not Automatum's agent, employee, partner or joint venturer, and may not bind Automatum except as Automatum authorizes in writing for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Automatum is the prime contractor and is responsible to each Registered Client for the Solution as a whole. As between the Parties, OBVG is responsible for the Services and for its personnel and subcontractors.</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The Client Registry is the sole record of which Clients are subject to this Agreement. A Client is within scope only once entered in it.</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when the Parties execute an Engagement Order. Automatum maintains the Registry and provides a current copy with each monthly statement under clause 11.5 and on request.</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Client Source; the Engagement start and Engagement Year dates; the Client Fees and the resulting OBVG Service Revenue; the personnel named under clause 9; the PSR seat allocation; and any variation permitted by clause 2.2.</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OBVG may notify Automatum in writing, with reasonable evidence, of a pre-existing relationship with the proposed Client or a named partner of it. A relationship so notified is a "Prior Relationship" and is carved out of clause 15.2. A relationship not notified before execution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OBVG may decline a proposed Engagement Order within 5 Business Days, acting reasonably, including for lack of capacity at the proposed Tier, because the proposed Client competes with an existing OBVG client, or because the proposed Client's existing Client Agreement does not meet clause 6.5. Declining is not a breach, and Automatum may then serve that Client itself or through another provider.</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Registry while its Engagement is in effect and for the period in clause 15.2, then is marked closed. Closure does not affect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two classifications, fixed at execution and not revisited during that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 Net New Client or Existing Automatum Client. Automatum will disclose before execution whether the proposed Client holds or held any paid Automatum subscription in the preceding 90 days, with reasonable evidence on request. Client Status determines the division of Service Revenue under clause 11.2.</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 OBVG-Sourced, Automatum-Sourced, or Joint or ACE-Sourced, by which Party first made documented contact with the Client about the Solution, and Joint or ACE-Sourced where the opportunity came through ACE or neither Party can show first contact.</w:t>
      </w:r>
    </w:p>
    <w:p>
      <w:pPr>
        <w:spacing w:after="160" w:before="0" w:line="276"/>
        <w:jc w:val="both"/>
      </w:pPr>
      <w:r>
        <w:rPr>
          <w:rFonts w:ascii="Calibri" w:cs="Calibri" w:eastAsia="Calibri" w:hAnsi="Calibri"/>
          <w:sz w:val="22"/>
          <w:szCs w:val="22"/>
        </w:rPr>
        <w:t xml:space="preserve">Client Status is re-determined on a renewal Engagement Order. A dispute about either classification is escalated under clause 26.2.</w:t>
      </w:r>
    </w:p>
    <w:p>
      <w:pPr>
        <w:pStyle w:val="Heading2"/>
        <w:keepNext/>
        <w:spacing w:after="140" w:before="300"/>
      </w:pPr>
      <w:r>
        <w:rPr>
          <w:rFonts w:ascii="Calibri" w:cs="Calibri" w:eastAsia="Calibri" w:hAnsi="Calibri"/>
          <w:b/>
          <w:bCs/>
          <w:sz w:val="24"/>
          <w:szCs w:val="24"/>
        </w:rPr>
        <w:t xml:space="preserve">5. OBVG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OBVG will, at the applicable Tier and to the service levels in Schedule 4, using suitably skilled personnel and with reasonable skill and care:</w:t>
      </w:r>
    </w:p>
    <w:p>
      <w:pPr>
        <w:spacing w:after="80" w:before="60" w:line="276"/>
        <w:ind w:left="780" w:hanging="360"/>
      </w:pPr>
      <w:r>
        <w:rPr>
          <w:rFonts w:ascii="Calibri" w:cs="Calibri" w:eastAsia="Calibri" w:hAnsi="Calibri"/>
          <w:sz w:val="22"/>
          <w:szCs w:val="22"/>
        </w:rPr>
        <w:t xml:space="preserve">a.	identify, qualify, recruit and onboard Recruited Partners against the ideal partner profile in the Engagement Order, up to the number stated for that Tier, screening each candidate before onboarding against sanctions and denied party lists, adverse media, beneficial ownership including whether any owner or controller is a government official, AWS Partner Network standing, and financial standing;</w:t>
      </w:r>
    </w:p>
    <w:p>
      <w:pPr>
        <w:spacing w:after="80" w:before="60" w:line="276"/>
        <w:ind w:left="780" w:hanging="360"/>
      </w:pPr>
      <w:r>
        <w:rPr>
          <w:rFonts w:ascii="Calibri" w:cs="Calibri" w:eastAsia="Calibri" w:hAnsi="Calibri"/>
          <w:sz w:val="22"/>
          <w:szCs w:val="22"/>
        </w:rPr>
        <w:t xml:space="preserve">b.	draft, issue and administer the partner agreement and margin schedule;</w:t>
      </w:r>
    </w:p>
    <w:p>
      <w:pPr>
        <w:spacing w:after="80" w:before="60" w:line="276"/>
        <w:ind w:left="780" w:hanging="360"/>
      </w:pPr>
      <w:r>
        <w:rPr>
          <w:rFonts w:ascii="Calibri" w:cs="Calibri" w:eastAsia="Calibri" w:hAnsi="Calibri"/>
          <w:sz w:val="22"/>
          <w:szCs w:val="22"/>
        </w:rPr>
        <w:t xml:space="preserve">c.	guide each partner through AWS registration, tax and banking details and service-linked role creation;</w:t>
      </w:r>
    </w:p>
    <w:p>
      <w:pPr>
        <w:spacing w:after="80" w:before="60" w:line="276"/>
        <w:ind w:left="780" w:hanging="360"/>
      </w:pPr>
      <w:r>
        <w:rPr>
          <w:rFonts w:ascii="Calibri" w:cs="Calibri" w:eastAsia="Calibri" w:hAnsi="Calibri"/>
          <w:sz w:val="22"/>
          <w:szCs w:val="22"/>
        </w:rPr>
        <w:t xml:space="preserve">d.	deliver enablement and training sessions at the Tier cadence, covering the Client's product, offer mechanics, deal registration and the margin schedule;</w:t>
      </w:r>
    </w:p>
    <w:p>
      <w:pPr>
        <w:spacing w:after="80" w:before="60" w:line="276"/>
        <w:ind w:left="780" w:hanging="360"/>
      </w:pPr>
      <w:r>
        <w:rPr>
          <w:rFonts w:ascii="Calibri" w:cs="Calibri" w:eastAsia="Calibri" w:hAnsi="Calibri"/>
          <w:sz w:val="22"/>
          <w:szCs w:val="22"/>
        </w:rPr>
        <w:t xml:space="preserve">e.	operate the CPPO deal desk, delivering an Issuance-Ready Package to Automatum within the OBVG leg in Schedule 4;</w:t>
      </w:r>
    </w:p>
    <w:p>
      <w:pPr>
        <w:spacing w:after="80" w:before="60" w:line="276"/>
        <w:ind w:left="780" w:hanging="360"/>
      </w:pPr>
      <w:r>
        <w:rPr>
          <w:rFonts w:ascii="Calibri" w:cs="Calibri" w:eastAsia="Calibri" w:hAnsi="Calibri"/>
          <w:sz w:val="22"/>
          <w:szCs w:val="22"/>
        </w:rPr>
        <w:t xml:space="preserve">f.	prepare and submit to Automatum requests for recurring Selling Authorizations, and track their status in the PSR;</w:t>
      </w:r>
    </w:p>
    <w:p>
      <w:pPr>
        <w:spacing w:after="80" w:before="60" w:line="276"/>
        <w:ind w:left="780" w:hanging="360"/>
      </w:pPr>
      <w:r>
        <w:rPr>
          <w:rFonts w:ascii="Calibri" w:cs="Calibri" w:eastAsia="Calibri" w:hAnsi="Calibri"/>
          <w:sz w:val="22"/>
          <w:szCs w:val="22"/>
        </w:rPr>
        <w:t xml:space="preserve">g.	deliver Channel Reviews at the Tier cadence;</w:t>
      </w:r>
    </w:p>
    <w:p>
      <w:pPr>
        <w:spacing w:after="80" w:before="60" w:line="276"/>
        <w:ind w:left="780" w:hanging="360"/>
      </w:pPr>
      <w:r>
        <w:rPr>
          <w:rFonts w:ascii="Calibri" w:cs="Calibri" w:eastAsia="Calibri" w:hAnsi="Calibri"/>
          <w:sz w:val="22"/>
          <w:szCs w:val="22"/>
        </w:rPr>
        <w:t xml:space="preserve">h.	stand up, configure, host, operate, support and maintain the PSR under clause 10 and Schedule 5, within the OBVG Service Revenue and not separately chargeable;</w:t>
      </w:r>
    </w:p>
    <w:p>
      <w:pPr>
        <w:spacing w:after="80" w:before="60" w:line="276"/>
        <w:ind w:left="780" w:hanging="360"/>
      </w:pPr>
      <w:r>
        <w:rPr>
          <w:rFonts w:ascii="Calibri" w:cs="Calibri" w:eastAsia="Calibri" w:hAnsi="Calibri"/>
          <w:sz w:val="22"/>
          <w:szCs w:val="22"/>
        </w:rPr>
        <w:t xml:space="preserve">i.	support configuration of AWS Partner Revenue Measurement attribution so far as within OBVG's control, and where action is required of Automatum, the Client or AWS, specify what is required and verify the result;</w:t>
      </w:r>
    </w:p>
    <w:p>
      <w:pPr>
        <w:spacing w:after="80" w:before="60" w:line="276"/>
        <w:ind w:left="780" w:hanging="360"/>
      </w:pPr>
      <w:r>
        <w:rPr>
          <w:rFonts w:ascii="Calibri" w:cs="Calibri" w:eastAsia="Calibri" w:hAnsi="Calibri"/>
          <w:sz w:val="22"/>
          <w:szCs w:val="22"/>
        </w:rPr>
        <w:t xml:space="preserve">j.	file partner-sourced opportunities to ACE under the APN account in Schedule 8 and no other, tracked distinctly from any baseline quota; and</w:t>
      </w:r>
    </w:p>
    <w:p>
      <w:pPr>
        <w:spacing w:after="80" w:before="60" w:line="276"/>
        <w:ind w:left="780" w:hanging="360"/>
      </w:pPr>
      <w:r>
        <w:rPr>
          <w:rFonts w:ascii="Calibri" w:cs="Calibri" w:eastAsia="Calibri" w:hAnsi="Calibri"/>
          <w:sz w:val="22"/>
          <w:szCs w:val="22"/>
        </w:rPr>
        <w:t xml:space="preserve">k.	deliver the monthly reporting pack in Schedule 4 within 5 Business Days of month end, in the Automatum Brand and in a form Automatum can pass to the Client unaltered.</w:t>
      </w:r>
    </w:p>
    <w:p>
      <w:pPr>
        <w:spacing w:after="160" w:before="0" w:line="276"/>
        <w:jc w:val="both"/>
      </w:pPr>
      <w:r>
        <w:rPr>
          <w:rFonts w:ascii="Calibri" w:cs="Calibri" w:eastAsia="Calibri" w:hAnsi="Calibri"/>
          <w:b/>
          <w:bCs/>
          <w:sz w:val="22"/>
          <w:szCs w:val="22"/>
        </w:rPr>
        <w:t xml:space="preserve">5.2 Recruitment is a ceiling, not a minimum.</w:t>
      </w:r>
      <w:r>
        <w:rPr>
          <w:rFonts w:ascii="Calibri" w:cs="Calibri" w:eastAsia="Calibri" w:hAnsi="Calibri"/>
          <w:sz w:val="22"/>
          <w:szCs w:val="22"/>
        </w:rPr>
        <w:t xml:space="preserve"> The partner numbers in Schedule 1 are the maximum OBVG must recruit and onboard. OBVG does not warrant, and need not procure, that any minimum number of partners is recruited, onboarded, authorized, transacts or becomes an Active Partner, and Automatum will not represent otherwise. This clause prevails over any contrary reading of Schedule 1.</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Each partner agreement is executed between the Registered Client, or Automatum as its agent, and the Recruited Partner. </w:t>
      </w:r>
      <w:r>
        <w:rPr>
          <w:rFonts w:ascii="Calibri" w:cs="Calibri" w:eastAsia="Calibri" w:hAnsi="Calibri"/>
          <w:b/>
          <w:bCs/>
          <w:sz w:val="22"/>
          <w:szCs w:val="22"/>
        </w:rPr>
        <w:t xml:space="preserve">OBVG is not a party to any partner agreement as principal</w:t>
      </w:r>
      <w:r>
        <w:rPr>
          <w:rFonts w:ascii="Calibri" w:cs="Calibri" w:eastAsia="Calibri" w:hAnsi="Calibri"/>
          <w:sz w:val="22"/>
          <w:szCs w:val="22"/>
        </w:rPr>
        <w:t xml:space="preserve"> and will not enter into one in its own name. OBVG administers them as agent under the authority in the Engagement Order and no wider.</w:t>
      </w:r>
    </w:p>
    <w:p>
      <w:pPr>
        <w:spacing w:after="160" w:before="0" w:line="276"/>
        <w:jc w:val="both"/>
      </w:pPr>
      <w:r>
        <w:rPr>
          <w:rFonts w:ascii="Calibri" w:cs="Calibri" w:eastAsia="Calibri" w:hAnsi="Calibri"/>
          <w:b/>
          <w:bCs/>
          <w:sz w:val="22"/>
          <w:szCs w:val="22"/>
        </w:rPr>
        <w:t xml:space="preserve">5.4 Deal desk boundary.</w:t>
      </w:r>
      <w:r>
        <w:rPr>
          <w:rFonts w:ascii="Calibri" w:cs="Calibri" w:eastAsia="Calibri" w:hAnsi="Calibri"/>
          <w:sz w:val="22"/>
          <w:szCs w:val="22"/>
        </w:rPr>
        <w:t xml:space="preserve"> OBVG's deal desk obligation ends on delivery of the Issuance-Ready Package. Issuance is Automatum's under clause 6.3.</w:t>
      </w:r>
    </w:p>
    <w:p>
      <w:pPr>
        <w:spacing w:after="160" w:before="0" w:line="276"/>
        <w:jc w:val="both"/>
      </w:pPr>
      <w:r>
        <w:rPr>
          <w:rFonts w:ascii="Calibri" w:cs="Calibri" w:eastAsia="Calibri" w:hAnsi="Calibri"/>
          <w:b/>
          <w:bCs/>
          <w:sz w:val="22"/>
          <w:szCs w:val="22"/>
        </w:rPr>
        <w:t xml:space="preserve">5.5 First line of support.</w:t>
      </w:r>
      <w:r>
        <w:rPr>
          <w:rFonts w:ascii="Calibri" w:cs="Calibri" w:eastAsia="Calibri" w:hAnsi="Calibri"/>
          <w:sz w:val="22"/>
          <w:szCs w:val="22"/>
        </w:rPr>
        <w:t xml:space="preserve"> OBVG is first line for the channel, the deal desk and the PSR, through the personnel named under clause 9, routed through the single Automatum-branded intake in Schedule 3.</w:t>
      </w:r>
    </w:p>
    <w:p>
      <w:pPr>
        <w:spacing w:after="160" w:before="0" w:line="276"/>
        <w:jc w:val="both"/>
      </w:pPr>
      <w:r>
        <w:rPr>
          <w:rFonts w:ascii="Calibri" w:cs="Calibri" w:eastAsia="Calibri" w:hAnsi="Calibri"/>
          <w:b/>
          <w:bCs/>
          <w:sz w:val="22"/>
          <w:szCs w:val="22"/>
        </w:rPr>
        <w:t xml:space="preserve">5.6 Instructions.</w:t>
      </w:r>
      <w:r>
        <w:rPr>
          <w:rFonts w:ascii="Calibri" w:cs="Calibri" w:eastAsia="Calibri" w:hAnsi="Calibri"/>
          <w:sz w:val="22"/>
          <w:szCs w:val="22"/>
        </w:rPr>
        <w:t xml:space="preserve"> OBVG will follow Automatum's reasonable written instructions relating to the Services, except where doing so would breach this Agreement, an AWS Program Term or any law, and will notify Automatum promptly if it believes an instruction would.</w:t>
      </w:r>
    </w:p>
    <w:p>
      <w:pPr>
        <w:spacing w:after="160" w:before="0" w:line="276"/>
        <w:jc w:val="both"/>
      </w:pPr>
      <w:r>
        <w:rPr>
          <w:rFonts w:ascii="Calibri" w:cs="Calibri" w:eastAsia="Calibri" w:hAnsi="Calibri"/>
          <w:b/>
          <w:bCs/>
          <w:sz w:val="22"/>
          <w:szCs w:val="22"/>
        </w:rPr>
        <w:t xml:space="preserve">5.7 Subcontracting.</w:t>
      </w:r>
      <w:r>
        <w:rPr>
          <w:rFonts w:ascii="Calibri" w:cs="Calibri" w:eastAsia="Calibri" w:hAnsi="Calibri"/>
          <w:sz w:val="22"/>
          <w:szCs w:val="22"/>
        </w:rPr>
        <w:t xml:space="preserve"> OBVG may subcontract only to subcontractors Automatum approves in writing, remains fully liable for them, and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its seller of record registration, and the AWS Partner Network status and entitlements needed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owns the AWS relationship for the listing and the Solution, including obtaining the confirmation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receiving an Issuance-Ready Package or Selling Authorization request, and within the Automatum leg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under clause 11.</w:t>
      </w:r>
    </w:p>
    <w:p>
      <w:pPr>
        <w:spacing w:after="160" w:before="0" w:line="276"/>
        <w:jc w:val="both"/>
      </w:pPr>
      <w:r>
        <w:rPr>
          <w:rFonts w:ascii="Calibri" w:cs="Calibri" w:eastAsia="Calibri" w:hAnsi="Calibri"/>
          <w:b/>
          <w:bCs/>
          <w:sz w:val="22"/>
          <w:szCs w:val="22"/>
        </w:rPr>
        <w:t xml:space="preserve">6.5 No-worse-than covenant.</w:t>
      </w:r>
      <w:r>
        <w:rPr>
          <w:rFonts w:ascii="Calibri" w:cs="Calibri" w:eastAsia="Calibri" w:hAnsi="Calibri"/>
          <w:sz w:val="22"/>
          <w:szCs w:val="22"/>
        </w:rPr>
        <w:t xml:space="preserve"> Automatum warrants that no Client Agreement for a Registered Client contains, in respect of services OBVG performs, a service level stricter than Schedule 4, a service credit percentage or at-risk amount above the caps in Schedule 4, a guaranteed partner number, transaction volume, revenue outcome or activation rate, or a metric definition inconsistent with Schedule 4. Anything agreed beyond this baseline is Automatum's own risk, is excluded from clause 8.4, and does not increase OBVG's obligations. This covenant is the consideration for the full flow-down in clause 8.4.</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make no representation, warranty or commitment to a Client or prospective Client about the Services, the Solution, partner numbers, offer issuance or any metric beyond Schedules 1 and 4, and indemnifies OBVG under clause 20.2 for claims arising from any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its loss of the listing, seller of record position or AWS Partner Network entitlements; a Registered Client's failure to perform an obligation on which OBVG depends; and any matter in clause 14.3. While a Relief Event continues, OBVG is excused from the affected obligation, the affected service levels do not run, and OBVG Service Revenue continues to accrue. OBVG will notify Automatum promptly and use reasonable efforts to mitigate.</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licence.</w:t>
      </w:r>
      <w:r>
        <w:rPr>
          <w:rFonts w:ascii="Calibri" w:cs="Calibri" w:eastAsia="Calibri" w:hAnsi="Calibri"/>
          <w:sz w:val="22"/>
          <w:szCs w:val="22"/>
        </w:rPr>
        <w:t xml:space="preserve"> Automatum grants OBVG a non-exclusive, non-transferable, royalty-free licence for the Term to use the Automatum Brand solely to perform the Services under Schedule 3. OBVG acquires no other rights and all goodwill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OBVG will perform all client-facing and partner-facing elements of the Services under the Automatum Brand, using Automatum-supplied email addresses and domains, Automatum-branded documents, portals and correspondence, and the protocol in Schedule 3.</w:t>
      </w:r>
    </w:p>
    <w:p>
      <w:pPr>
        <w:spacing w:after="160" w:before="0" w:line="276"/>
        <w:jc w:val="both"/>
      </w:pPr>
      <w:r>
        <w:rPr>
          <w:rFonts w:ascii="Calibri" w:cs="Calibri" w:eastAsia="Calibri" w:hAnsi="Calibri"/>
          <w:b/>
          <w:bCs/>
          <w:sz w:val="22"/>
          <w:szCs w:val="22"/>
        </w:rPr>
        <w:t xml:space="preserve">7.3 No OBVG branding.</w:t>
      </w:r>
      <w:r>
        <w:rPr>
          <w:rFonts w:ascii="Calibri" w:cs="Calibri" w:eastAsia="Calibri" w:hAnsi="Calibri"/>
          <w:sz w:val="22"/>
          <w:szCs w:val="22"/>
        </w:rPr>
        <w:t xml:space="preserve"> OBVG will not use its own name, logos, marks, domains, email addresses, templates or contact details in any client-facing or partner-facing material, and will not identify itself to a Client or Recruited Partner as the provider of the Services, except under clause 7.5.</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OBVG will not contact a Registered Client outside the channels and personas in Schedule 3, and will not contact a Registered Client at all about a dispute between the Parties, including any payment dispute.</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OBVG may disclose its role where required by law, a regulator, an AWS Program Term, or a Client Agreement Automatum has notified to OBVG in writing, giving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OBVG is the sole employer of its personnel. Automatum does not direct, supervise or control how they perform the Services. OBVG's personnel will not state or imply that they are employed by Automatum, and Schedule 3 states what they may and may not say. Each Party will implement the measures in Schedule 3 against a finding of joint or co-employment.</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release, website, pitch or public statement without the other's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OBVG's role to a Client or Recruited Partner except as required by law, a regulator, an AWS Program Term or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OBVG will meet the service levels in Schedule 4, which state for each what starts and stops the clock, the measurement source, and the division between the OBVG leg and the Automatum leg.</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Because Automatum issues offers and Selling Authorizations as seller of record, the deal desk and Selling Authorization service levels are measured in two legs. OBVG is responsible only for the OBVG leg, and a failure of the Automatum leg gives rise to no flow-down under clause 8.4. Where root cause analysis is genuinely inconclusive between the legs, responsibility is apportioned equally and either Party may escalate under clause 26.2.</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OBVG's personnel is </w:t>
      </w:r>
      <w:r>
        <w:rPr>
          <w:rFonts w:ascii="Calibri" w:cs="Calibri" w:eastAsia="Calibri" w:hAnsi="Calibri"/>
          <w:b/>
          <w:bCs/>
          <w:sz w:val="22"/>
          <w:szCs w:val="22"/>
        </w:rPr>
        <w:t xml:space="preserve">not</w:t>
      </w:r>
      <w:r>
        <w:rPr>
          <w:rFonts w:ascii="Calibri" w:cs="Calibri" w:eastAsia="Calibri" w:hAnsi="Calibri"/>
          <w:sz w:val="22"/>
          <w:szCs w:val="22"/>
        </w:rPr>
        <w:t xml:space="preserve">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must give a Registered Client a Service Credit, it may deduct that amount from the next monthly OBVG Service Revenue for that Client, but only where the failure was of the OBVG leg and attributable to OBVG; Automatum actually gave the credit and did not give it ex gratia, as a concession, or in settlement of an unrelated matter without OBVG's prior written consent; Automatum applied every exclusion, cap and excused event available to it; and Automatum notified OBVG of the claim with supporting evidence within 10 Business Days of receiving it and gave OBVG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Deductions under clause 8.4 are capped, per Registered Client, at the lower of the credit actually given and 10% of that Client's gross monthly Client Fees per Engagement Month, rising to 20% in a month in which two or more service levels are missed; and at 15% of that Client's OBVG Service Revenue per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3 failures of the same service level in any rolling 3 Engagement Months, or 6 failures across any service levels in an Engagement Year, for the same Registered Client and attributable to OBVG. Automatum may then require a root cause analysis within 5 Business Days, a written remediation plan within 10 Business Days, and replacement of the personnel named under clause 9 for that Engagement; and if the Chronic Failure is not remedied within 30 days of the remediation plan, may terminate the affected Engagement Order under clause 23.4 with transition assistance at OBVG's cost.</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Each Engagement Order names a Channel Manager, a Backup Channel Manager and, at Tier 3, a Deal Desk Owner with a stated coverage window, each with the committed hours and coverage window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Automatum approves initial appointees, not to be unreasonably withheld, conditioned or delayed, and deemed given if Automatum does not object within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OBVG will not voluntarily remove or reassign a named person for 12 months or the remainder of the Engagement, whichever is shorter, unless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OBVG will notify Automatum within 2 Business Days of becoming aware that a named person will cease in the role. The Backup Channel Manager assumes it immediately. OBVG will propose a replacement of equivalent or greater experience within 10 Business Days and provide a 10 Business Day handover overlap at its own cost. Clause 8.3 applies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removal of a named person from an Engagement for material underperformance, misconduct, breach of Schedule 3, or repeated attributable service level failures, and replacement is at OBVG's cost. This is a request to remove the person from the Engagement, not a direction to dismiss or discipline, and OBVG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unless the Engagement Order says so.</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OBVG will not exceed the accounts-per-owner ratios in Schedule 7. Exceeding a ratio is a breach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OBVG will maintain a documented succession plan for each named role, cross-train the Backup Channel Manager, and ensure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Rights warranty.</w:t>
      </w:r>
      <w:r>
        <w:rPr>
          <w:rFonts w:ascii="Calibri" w:cs="Calibri" w:eastAsia="Calibri" w:hAnsi="Calibri"/>
          <w:sz w:val="22"/>
          <w:szCs w:val="22"/>
        </w:rPr>
        <w:t xml:space="preserve"> OBVG warrants that it holds all rights needed to provide and operate the PSR as contemplated here, including to present it under the Automatum Brand and to grant the access and licences in this clause, and that its own licence from the PSR vendor runs beyond the expiry of the longest Engagement Order then in effect plus the transition period in clause 24.1.</w:t>
      </w:r>
    </w:p>
    <w:p>
      <w:pPr>
        <w:spacing w:after="160" w:before="0" w:line="276"/>
        <w:jc w:val="both"/>
      </w:pPr>
      <w:r>
        <w:rPr>
          <w:rFonts w:ascii="Calibri" w:cs="Calibri" w:eastAsia="Calibri" w:hAnsi="Calibri"/>
          <w:b/>
          <w:bCs/>
          <w:sz w:val="22"/>
          <w:szCs w:val="22"/>
        </w:rPr>
        <w:t xml:space="preserve">10.2 White label configuration.</w:t>
      </w:r>
      <w:r>
        <w:rPr>
          <w:rFonts w:ascii="Calibri" w:cs="Calibri" w:eastAsia="Calibri" w:hAnsi="Calibri"/>
          <w:sz w:val="22"/>
          <w:szCs w:val="22"/>
        </w:rPr>
        <w:t xml:space="preserve"> Each Registered Client's tenant is configured under the Automatum Brand, with no PSR vendor or OBVG branding visible to the Client or any Recruited Partner, except where the vendor's licence makes removal impossible, in which case OBVG will notify Automatum before the tenant goes live.</w:t>
      </w:r>
    </w:p>
    <w:p>
      <w:pPr>
        <w:spacing w:after="160" w:before="0" w:line="276"/>
        <w:jc w:val="both"/>
      </w:pPr>
      <w:r>
        <w:rPr>
          <w:rFonts w:ascii="Calibri" w:cs="Calibri" w:eastAsia="Calibri" w:hAnsi="Calibri"/>
          <w:b/>
          <w:bCs/>
          <w:sz w:val="22"/>
          <w:szCs w:val="22"/>
        </w:rPr>
        <w:t xml:space="preserve">10.3 Data ownership and permitted use.</w:t>
      </w:r>
      <w:r>
        <w:rPr>
          <w:rFonts w:ascii="Calibri" w:cs="Calibri" w:eastAsia="Calibri" w:hAnsi="Calibri"/>
          <w:sz w:val="22"/>
          <w:szCs w:val="22"/>
        </w:rPr>
        <w:t xml:space="preserve"> Client Data is owned by the Registered Client it relates to and licensed to Automatum under that Client Agreement. OBVG may process it only to deliver the Services for that Client, and will not use it, identifiable or aggregated, for benchmarking, product development, its own channel business, or any other OBVG client.</w:t>
      </w:r>
    </w:p>
    <w:p>
      <w:pPr>
        <w:spacing w:after="160" w:before="0" w:line="276"/>
        <w:jc w:val="both"/>
      </w:pPr>
      <w:r>
        <w:rPr>
          <w:rFonts w:ascii="Calibri" w:cs="Calibri" w:eastAsia="Calibri" w:hAnsi="Calibri"/>
          <w:b/>
          <w:bCs/>
          <w:sz w:val="22"/>
          <w:szCs w:val="22"/>
        </w:rPr>
        <w:t xml:space="preserve">10.4 Standing data replica.</w:t>
      </w:r>
      <w:r>
        <w:rPr>
          <w:rFonts w:ascii="Calibri" w:cs="Calibri" w:eastAsia="Calibri" w:hAnsi="Calibri"/>
          <w:sz w:val="22"/>
          <w:szCs w:val="22"/>
        </w:rPr>
        <w:t xml:space="preserve"> OBVG will export Client Data to storage Automatum controls, in the documented schema in Schedule 5, daily for transactional records and monthly as a full snapshot. The Parties will test a restore quarterly and reconcile record counts.</w:t>
      </w:r>
    </w:p>
    <w:p>
      <w:pPr>
        <w:spacing w:after="160" w:before="0" w:line="276"/>
        <w:jc w:val="both"/>
      </w:pPr>
      <w:r>
        <w:rPr>
          <w:rFonts w:ascii="Calibri" w:cs="Calibri" w:eastAsia="Calibri" w:hAnsi="Calibri"/>
          <w:b/>
          <w:bCs/>
          <w:sz w:val="22"/>
          <w:szCs w:val="22"/>
        </w:rPr>
        <w:t xml:space="preserve">10.5 Audit record integrity.</w:t>
      </w:r>
      <w:r>
        <w:rPr>
          <w:rFonts w:ascii="Calibri" w:cs="Calibri" w:eastAsia="Calibri" w:hAnsi="Calibri"/>
          <w:sz w:val="22"/>
          <w:szCs w:val="22"/>
        </w:rPr>
        <w:t xml:space="preserve"> OBVG will maintain an append-only event log of the events constituting each metric in Schedule 4, retain it for the Term plus 7 years, and make it available to Automatum, a Registered Client and their auditors on reasonable notice. This obligation survives termination.</w:t>
      </w:r>
    </w:p>
    <w:p>
      <w:pPr>
        <w:spacing w:after="160" w:before="0" w:line="276"/>
        <w:jc w:val="both"/>
      </w:pPr>
      <w:r>
        <w:rPr>
          <w:rFonts w:ascii="Calibri" w:cs="Calibri" w:eastAsia="Calibri" w:hAnsi="Calibri"/>
          <w:b/>
          <w:bCs/>
          <w:sz w:val="22"/>
          <w:szCs w:val="22"/>
        </w:rPr>
        <w:t xml:space="preserve">10.6 Administrative access.</w:t>
      </w:r>
      <w:r>
        <w:rPr>
          <w:rFonts w:ascii="Calibri" w:cs="Calibri" w:eastAsia="Calibri" w:hAnsi="Calibri"/>
          <w:sz w:val="22"/>
          <w:szCs w:val="22"/>
        </w:rPr>
        <w:t xml:space="preserve"> Automatum holds administrative access to each Registered Client's tenant throughout the Engagement.</w:t>
      </w:r>
    </w:p>
    <w:p>
      <w:pPr>
        <w:spacing w:after="160" w:before="0" w:line="276"/>
        <w:jc w:val="both"/>
      </w:pPr>
      <w:r>
        <w:rPr>
          <w:rFonts w:ascii="Calibri" w:cs="Calibri" w:eastAsia="Calibri" w:hAnsi="Calibri"/>
          <w:b/>
          <w:bCs/>
          <w:sz w:val="22"/>
          <w:szCs w:val="22"/>
        </w:rPr>
        <w:t xml:space="preserve">10.7 Vendor continuity.</w:t>
      </w:r>
      <w:r>
        <w:rPr>
          <w:rFonts w:ascii="Calibri" w:cs="Calibri" w:eastAsia="Calibri" w:hAnsi="Calibri"/>
          <w:sz w:val="22"/>
          <w:szCs w:val="22"/>
        </w:rPr>
        <w:t xml:space="preserve"> OBVG will procure and maintain from the PSR vendor a written undertaking in the form of Schedule 5 Part D, under which on OBVG's insolvency, cessation of business, or termination of this Agreement for OBVG's breach, the vendor will contract directly with Automatum or its nominee for the remainder of the affected Engagement Orders plus the transition period, at the same or benchmarked rates, with tenant data intact. This is a condition to OBVG's first Engagement Order. If the vendor will not give it, OBVG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10.8 Step-in.</w:t>
      </w:r>
      <w:r>
        <w:rPr>
          <w:rFonts w:ascii="Calibri" w:cs="Calibri" w:eastAsia="Calibri" w:hAnsi="Calibri"/>
          <w:sz w:val="22"/>
          <w:szCs w:val="22"/>
        </w:rPr>
        <w:t xml:space="preserve"> Automatum may step in on a Chronic Failure, an insolvency event affecting OBVG, a material service failure threatening a Registered Client's service levels, or an AWS compliance event. OBVG will then grant Automatum and any nominee access, credentials and administrative rights to the PSR and a royalty-free licence to the OBVG Materials for the remainder of the affected Engagement Orders plus the transition period. Step-in does not relieve OBVG of liability for any earlier period. Automatum will step out on 30 days' notice once the trigger is remedied, on an agreed plan.</w:t>
      </w:r>
    </w:p>
    <w:p>
      <w:pPr>
        <w:spacing w:after="160" w:before="0" w:line="276"/>
        <w:jc w:val="both"/>
      </w:pPr>
      <w:r>
        <w:rPr>
          <w:rFonts w:ascii="Calibri" w:cs="Calibri" w:eastAsia="Calibri" w:hAnsi="Calibri"/>
          <w:b/>
          <w:bCs/>
          <w:sz w:val="22"/>
          <w:szCs w:val="22"/>
        </w:rPr>
        <w:t xml:space="preserve">10.9 Insolvency.</w:t>
      </w:r>
      <w:r>
        <w:rPr>
          <w:rFonts w:ascii="Calibri" w:cs="Calibri" w:eastAsia="Calibri" w:hAnsi="Calibri"/>
          <w:sz w:val="22"/>
          <w:szCs w:val="22"/>
        </w:rPr>
        <w:t xml:space="preserve"> The rights and licences under clauses 10.7 and 10.8 are licences of intellectual property for the purposes of section 365(n) of the United States Bankruptcy Code, and Automatum may elect to retain its rights under that section. Neither Party will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The split.</w:t>
      </w:r>
      <w:r>
        <w:rPr>
          <w:rFonts w:ascii="Calibri" w:cs="Calibri" w:eastAsia="Calibri" w:hAnsi="Calibri"/>
          <w:sz w:val="22"/>
          <w:szCs w:val="22"/>
        </w:rPr>
        <w:t xml:space="preserve"> For each Engagement Year the Collected Client Fees divide into Platform Revenue and Service Revenue. Platform Revenue is $9,999 and belongs to Automatum whatever the Client Status. Service Revenue divides by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 the whole of the Service Revenue is retained by OBVG, and Automatum takes no share of it.</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 the Client already pays the Platform Revenue under its existing subscription, which continues unchanged, and the Service Revenue is divided 75% to OBVG and 25% to Automatum in consideration of the Client relationship Automatum brings to the Engagement.</w:t>
      </w:r>
    </w:p>
    <w:p>
      <w:pPr>
        <w:spacing w:after="160" w:before="0" w:line="276"/>
        <w:jc w:val="both"/>
      </w:pPr>
      <w:r>
        <w:rPr>
          <w:rFonts w:ascii="Calibri" w:cs="Calibri" w:eastAsia="Calibri" w:hAnsi="Calibri"/>
          <w:sz w:val="22"/>
          <w:szCs w:val="22"/>
        </w:rPr>
        <w:t xml:space="preserve">Client Fees are the same at a given Tier whatever the Client Status. Schedule 2 states the figures and the rounding rule.</w:t>
      </w:r>
    </w:p>
    <w:p>
      <w:pPr>
        <w:spacing w:after="160" w:before="0" w:line="276"/>
        <w:jc w:val="both"/>
      </w:pPr>
      <w:r>
        <w:rPr>
          <w:rFonts w:ascii="Calibri" w:cs="Calibri" w:eastAsia="Calibri" w:hAnsi="Calibri"/>
          <w:b/>
          <w:bCs/>
          <w:sz w:val="22"/>
          <w:szCs w:val="22"/>
        </w:rPr>
        <w:t xml:space="preserve">11.2 Accrual.</w:t>
      </w:r>
      <w:r>
        <w:rPr>
          <w:rFonts w:ascii="Calibri" w:cs="Calibri" w:eastAsia="Calibri" w:hAnsi="Calibri"/>
          <w:sz w:val="22"/>
          <w:szCs w:val="22"/>
        </w:rPr>
        <w:t xml:space="preserve"> Platform Revenue accrues pro rata across the 12 Engagement Months of an Engagement Year at $833.25 per Engagement Month, and is not recovered from the earliest Client payments in priority to OBVG Service Revenue. Each Party's share of Service Revenue accrues monthly at one twelfth of its annual share.</w:t>
      </w:r>
    </w:p>
    <w:p>
      <w:pPr>
        <w:spacing w:after="160" w:before="0" w:line="276"/>
        <w:jc w:val="both"/>
      </w:pPr>
      <w:r>
        <w:rPr>
          <w:rFonts w:ascii="Calibri" w:cs="Calibri" w:eastAsia="Calibri" w:hAnsi="Calibri"/>
          <w:b/>
          <w:bCs/>
          <w:sz w:val="22"/>
          <w:szCs w:val="22"/>
        </w:rPr>
        <w:t xml:space="preserve">11.3 Invoicing.</w:t>
      </w:r>
      <w:r>
        <w:rPr>
          <w:rFonts w:ascii="Calibri" w:cs="Calibri" w:eastAsia="Calibri" w:hAnsi="Calibri"/>
          <w:sz w:val="22"/>
          <w:szCs w:val="22"/>
        </w:rPr>
        <w:t xml:space="preserve"> OBVG will invoice Automatum monthly in arrears for the OBVG Service Revenue accrued in the preceding Engagement Month, with any amount payable under Schedule 2 for a change in Tier.</w:t>
      </w:r>
    </w:p>
    <w:p>
      <w:pPr>
        <w:spacing w:after="160" w:before="0" w:line="276"/>
        <w:jc w:val="both"/>
      </w:pPr>
      <w:r>
        <w:rPr>
          <w:rFonts w:ascii="Calibri" w:cs="Calibri" w:eastAsia="Calibri" w:hAnsi="Calibri"/>
          <w:b/>
          <w:bCs/>
          <w:sz w:val="22"/>
          <w:szCs w:val="22"/>
        </w:rPr>
        <w:t xml:space="preserve">11.4 Payment.</w:t>
      </w:r>
      <w:r>
        <w:rPr>
          <w:rFonts w:ascii="Calibri" w:cs="Calibri" w:eastAsia="Calibri" w:hAnsi="Calibri"/>
          <w:sz w:val="22"/>
          <w:szCs w:val="22"/>
        </w:rPr>
        <w:t xml:space="preserve"> Automatum will pay each undisputed invoice within 10 Business Days of receiving the corresponding Client payment, and in any event within 60 days of the invoice date whether or not the Client has paid. The 60 day longstop does not apply where the Client has entered an insolvency process, or is withholding payment because of a dispute caused by OBVG's performance, in which case only the disputed portion may be withheld and only until resolved.</w:t>
      </w:r>
    </w:p>
    <w:p>
      <w:pPr>
        <w:spacing w:after="160" w:before="0" w:line="276"/>
        <w:jc w:val="both"/>
      </w:pPr>
      <w:r>
        <w:rPr>
          <w:rFonts w:ascii="Calibri" w:cs="Calibri" w:eastAsia="Calibri" w:hAnsi="Calibri"/>
          <w:b/>
          <w:bCs/>
          <w:sz w:val="22"/>
          <w:szCs w:val="22"/>
        </w:rPr>
        <w:t xml:space="preserve">11.5 Automatum's collection obligations.</w:t>
      </w:r>
      <w:r>
        <w:rPr>
          <w:rFonts w:ascii="Calibri" w:cs="Calibri" w:eastAsia="Calibri" w:hAnsi="Calibri"/>
          <w:sz w:val="22"/>
          <w:szCs w:val="22"/>
        </w:rPr>
        <w:t xml:space="preserve"> Automatum will invoice each Registered Client within 5 Business Days of the due date under the Client Agreement, pursue collection diligently, and give OBVG a monthly statement showing for each Registered Client the Client Status, Client Fees invoiced, amounts collected, Platform Revenue accrued and each Party's share of Service Revenue accrued.</w:t>
      </w:r>
    </w:p>
    <w:p>
      <w:pPr>
        <w:spacing w:after="160" w:before="0" w:line="276"/>
        <w:jc w:val="both"/>
      </w:pPr>
      <w:r>
        <w:rPr>
          <w:rFonts w:ascii="Calibri" w:cs="Calibri" w:eastAsia="Calibri" w:hAnsi="Calibri"/>
          <w:b/>
          <w:bCs/>
          <w:sz w:val="22"/>
          <w:szCs w:val="22"/>
        </w:rPr>
        <w:t xml:space="preserve">11.6 No unilateral concessions.</w:t>
      </w:r>
      <w:r>
        <w:rPr>
          <w:rFonts w:ascii="Calibri" w:cs="Calibri" w:eastAsia="Calibri" w:hAnsi="Calibri"/>
          <w:sz w:val="22"/>
          <w:szCs w:val="22"/>
        </w:rPr>
        <w:t xml:space="preserve"> Automatum will not settle, waive, discount or credit Client Fees in a way that reduces OBVG Service Revenue without OBVG's prior written consent. If it does, OBVG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11.7 Suspension.</w:t>
      </w:r>
      <w:r>
        <w:rPr>
          <w:rFonts w:ascii="Calibri" w:cs="Calibri" w:eastAsia="Calibri" w:hAnsi="Calibri"/>
          <w:sz w:val="22"/>
          <w:szCs w:val="22"/>
        </w:rPr>
        <w:t xml:space="preserve"> OBVG may not suspend any client-facing element of the Services for non-payment unless payment is more than 60 days overdue and OBVG has given 15 Business Days' written notice to Automatum. OBVG's remedy for sustained non-payment is termination of the affected Engagement Order under clause 23.4 with transition assistance paid by Automatum. Clause 7.4 applies throughout.</w:t>
      </w:r>
    </w:p>
    <w:p>
      <w:pPr>
        <w:spacing w:after="160" w:before="0" w:line="276"/>
        <w:jc w:val="both"/>
      </w:pPr>
      <w:r>
        <w:rPr>
          <w:rFonts w:ascii="Calibri" w:cs="Calibri" w:eastAsia="Calibri" w:hAnsi="Calibri"/>
          <w:b/>
          <w:bCs/>
          <w:sz w:val="22"/>
          <w:szCs w:val="22"/>
        </w:rPr>
        <w:t xml:space="preserve">11.8 Interest and set-off.</w:t>
      </w:r>
      <w:r>
        <w:rPr>
          <w:rFonts w:ascii="Calibri" w:cs="Calibri" w:eastAsia="Calibri" w:hAnsi="Calibri"/>
          <w:sz w:val="22"/>
          <w:szCs w:val="22"/>
        </w:rPr>
        <w:t xml:space="preserve"> Interest accrues on overdue undisputed amounts at 1.5% per month or the maximum rate permitted by law, whichever is lower. Neither Party may set off except for sums that are liquidated, undisputed and due.</w:t>
      </w:r>
    </w:p>
    <w:p>
      <w:pPr>
        <w:spacing w:after="160" w:before="0" w:line="276"/>
        <w:jc w:val="both"/>
      </w:pPr>
      <w:r>
        <w:rPr>
          <w:rFonts w:ascii="Calibri" w:cs="Calibri" w:eastAsia="Calibri" w:hAnsi="Calibri"/>
          <w:b/>
          <w:bCs/>
          <w:sz w:val="22"/>
          <w:szCs w:val="22"/>
        </w:rPr>
        <w:t xml:space="preserve">11.9 Marketplace transaction of engagement fees.</w:t>
      </w:r>
      <w:r>
        <w:rPr>
          <w:rFonts w:ascii="Calibri" w:cs="Calibri" w:eastAsia="Calibri" w:hAnsi="Calibri"/>
          <w:sz w:val="22"/>
          <w:szCs w:val="22"/>
        </w:rPr>
        <w:t xml:space="preserve"> Engagement fees are invoiced by Automatum directly to each Client and are not transacted through AWS Marketplace, so no AWS Marketplace listing fee applies to them, and the figures in Schedule 2 depend on that. If the Parties later agree to transact engagement fees through AWS Marketplace, the allocation of the resulting listing fee must be agreed under clause 14.5 before that begins.</w:t>
      </w:r>
    </w:p>
    <w:p>
      <w:pPr>
        <w:spacing w:after="160" w:before="0" w:line="276"/>
        <w:jc w:val="both"/>
      </w:pPr>
      <w:r>
        <w:rPr>
          <w:rFonts w:ascii="Calibri" w:cs="Calibri" w:eastAsia="Calibri" w:hAnsi="Calibri"/>
          <w:b/>
          <w:bCs/>
          <w:sz w:val="22"/>
          <w:szCs w:val="22"/>
        </w:rPr>
        <w:t xml:space="preserve">11.10 Taxes.</w:t>
      </w:r>
      <w:r>
        <w:rPr>
          <w:rFonts w:ascii="Calibri" w:cs="Calibri" w:eastAsia="Calibri" w:hAnsi="Calibri"/>
          <w:sz w:val="22"/>
          <w:szCs w:val="22"/>
        </w:rPr>
        <w:t xml:space="preserve"> Each Party bears its own taxes on its own income. Amounts payable are exclusive of Taxes, which Automatum will pay in addition where properly chargeable. If withholding is required by law, the payer will gross up so the payee receives what it would have received absent the withholding.</w:t>
      </w:r>
    </w:p>
    <w:p>
      <w:pPr>
        <w:spacing w:after="160" w:before="0" w:line="276"/>
        <w:jc w:val="both"/>
      </w:pPr>
      <w:r>
        <w:rPr>
          <w:rFonts w:ascii="Calibri" w:cs="Calibri" w:eastAsia="Calibri" w:hAnsi="Calibri"/>
          <w:b/>
          <w:bCs/>
          <w:sz w:val="22"/>
          <w:szCs w:val="22"/>
        </w:rPr>
        <w:t xml:space="preserve">11.11 Audit of billing.</w:t>
      </w:r>
      <w:r>
        <w:rPr>
          <w:rFonts w:ascii="Calibri" w:cs="Calibri" w:eastAsia="Calibri" w:hAnsi="Calibri"/>
          <w:sz w:val="22"/>
          <w:szCs w:val="22"/>
        </w:rPr>
        <w:t xml:space="preserve"> Once per calendar year OBVG may audit Automatum's records of Client Fees invoiced and collected for Registered Clients, on 30 days' notice, in business hours, at OBVG's cost. If the audit shows an understatement of OBVG Service Revenue above 5% for the period audited, Automatum bears the audit cost and pays the shortfall with interest under clause 11.8.</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OBVG will deliver the monthly reporting pack under clause 5.1(k). The headline metric is the number of Offer-Issuing Partners, or the fallback metric where clause 14.2 applies,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OBVG will reconcile it against AWS Marketplace seller reporting monthly and report any discrepancy.</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15 Business Days of receiving the report, resolved by reference to the event log under clause 10.5.</w:t>
      </w:r>
    </w:p>
    <w:p>
      <w:pPr>
        <w:spacing w:after="160" w:before="0" w:line="276"/>
        <w:jc w:val="both"/>
      </w:pPr>
      <w:r>
        <w:rPr>
          <w:rFonts w:ascii="Calibri" w:cs="Calibri" w:eastAsia="Calibri" w:hAnsi="Calibri"/>
          <w:b/>
          <w:bCs/>
          <w:sz w:val="22"/>
          <w:szCs w:val="22"/>
        </w:rPr>
        <w:t xml:space="preserve">12.4 Records and audit.</w:t>
      </w:r>
      <w:r>
        <w:rPr>
          <w:rFonts w:ascii="Calibri" w:cs="Calibri" w:eastAsia="Calibri" w:hAnsi="Calibri"/>
          <w:sz w:val="22"/>
          <w:szCs w:val="22"/>
        </w:rPr>
        <w:t xml:space="preserve"> Each Party will keep accurate records of its performance for the Term plus 3 years, and clause 10.5 governs the event log. Automatum may audit OBVG's compliance once per calendar year on 30 days' notice, in business hours, at Automatum's cost, and more frequently after a Chronic Failure or security incident. Audits will not require disclosure of another OBVG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and maintain the AWS registrations, certifications and programme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in this Agreement, and nothing said or exchanged before it, is a commitment by AWS.</w:t>
      </w:r>
    </w:p>
    <w:p>
      <w:pPr>
        <w:spacing w:after="160" w:before="0" w:line="276"/>
        <w:jc w:val="both"/>
      </w:pPr>
      <w:r>
        <w:rPr>
          <w:rFonts w:ascii="Calibri" w:cs="Calibri" w:eastAsia="Calibri" w:hAnsi="Calibri"/>
          <w:b/>
          <w:bCs/>
          <w:sz w:val="22"/>
          <w:szCs w:val="22"/>
        </w:rPr>
        <w:t xml:space="preserve">13.4 Solution identifier and overlap.</w:t>
      </w:r>
      <w:r>
        <w:rPr>
          <w:rFonts w:ascii="Calibri" w:cs="Calibri" w:eastAsia="Calibri" w:hAnsi="Calibri"/>
          <w:sz w:val="22"/>
          <w:szCs w:val="22"/>
        </w:rPr>
        <w:t xml:space="preserve"> Opportunities for the Solution map to the single solution identifier in Schedule 8. Where an opportunity falls within both the Solution and another offering of either Party, the Parties will agree in writing which it is attributed to, so that no opportunity is counted or billed twice.</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5.1(j) governs the account under which OBVG files.</w:t>
      </w:r>
    </w:p>
    <w:p>
      <w:pPr>
        <w:spacing w:after="160" w:before="0" w:line="276"/>
        <w:jc w:val="both"/>
      </w:pPr>
      <w:r>
        <w:rPr>
          <w:rFonts w:ascii="Calibri" w:cs="Calibri" w:eastAsia="Calibri" w:hAnsi="Calibri"/>
          <w:b/>
          <w:bCs/>
          <w:sz w:val="22"/>
          <w:szCs w:val="22"/>
        </w:rPr>
        <w:t xml:space="preserve">13.6 AWS programme change.</w:t>
      </w:r>
      <w:r>
        <w:rPr>
          <w:rFonts w:ascii="Calibri" w:cs="Calibri" w:eastAsia="Calibri" w:hAnsi="Calibri"/>
          <w:sz w:val="22"/>
          <w:szCs w:val="22"/>
        </w:rPr>
        <w:t xml:space="preserve"> If AWS changes an AWS Program Term, a Marketplace mechanism or a programme rule so that a commitment in Schedule 1 or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in Schedule 8. An assumption proving incorrect is not a breach, and the consequence is as stated in Schedule 8 or this clause.</w:t>
      </w:r>
    </w:p>
    <w:p>
      <w:pPr>
        <w:spacing w:after="160" w:before="0" w:line="276"/>
        <w:jc w:val="both"/>
      </w:pPr>
      <w:r>
        <w:rPr>
          <w:rFonts w:ascii="Calibri" w:cs="Calibri" w:eastAsia="Calibri" w:hAnsi="Calibri"/>
          <w:b/>
          <w:bCs/>
          <w:sz w:val="22"/>
          <w:szCs w:val="22"/>
        </w:rPr>
        <w:t xml:space="preserve">14.2 The Marketplace authorization dependency.</w:t>
      </w:r>
      <w:r>
        <w:rPr>
          <w:rFonts w:ascii="Calibri" w:cs="Calibri" w:eastAsia="Calibri" w:hAnsi="Calibri"/>
          <w:sz w:val="22"/>
          <w:szCs w:val="22"/>
        </w:rPr>
        <w:t xml:space="preserve"> It is not yet confirmed whether, and by what mechanism, a third-party reseller can issue offers against Automatum's listing while Automatum is seller of record, and the Offer-Issuing Partner metric depends on it. Automatum owns obtaining AWS's confirmation and will use reasonable efforts to obtain a written answer by the longstop date in Schedule 8. If the mechanism is confirmed available by then, the primary metric in Schedule 4 applies. If it is not, the fallback metric in Schedule 4 applies automatically from the next Engagement Month, without further agreement, and neither Party is in breach or liable to the other. Neither Party warrants the outcome.</w:t>
      </w:r>
    </w:p>
    <w:p>
      <w:pPr>
        <w:spacing w:after="160" w:before="0" w:line="276"/>
        <w:jc w:val="both"/>
      </w:pPr>
      <w:r>
        <w:rPr>
          <w:rFonts w:ascii="Calibri" w:cs="Calibri" w:eastAsia="Calibri" w:hAnsi="Calibri"/>
          <w:b/>
          <w:bCs/>
          <w:sz w:val="22"/>
          <w:szCs w:val="22"/>
        </w:rPr>
        <w:t xml:space="preserve">14.3 AWS programme change relief.</w:t>
      </w:r>
      <w:r>
        <w:rPr>
          <w:rFonts w:ascii="Calibri" w:cs="Calibri" w:eastAsia="Calibri" w:hAnsi="Calibri"/>
          <w:sz w:val="22"/>
          <w:szCs w:val="22"/>
        </w:rPr>
        <w:t xml:space="preserve"> Where clause 13.6 applies, the affected obligation is suspended, the Parties will meet within 10 Business Days to agree a change under clause 14.5, and if they have not agreed within 30 days either may terminate the affected Engagement Order on 30 days' notice, with Client Fees pro-rated to termination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The service levels in Schedule 4 and the Tier 3 roster in Schedule 1 have not been capacity tested. Neither Party will publish the Tier table to the market, and no Engagement Order may be executed at a Tier, until the capacity test in Schedule 8 has been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in a change order signed by both Parties stating the change and its effect on the Services and on OBVG Service Revenue. Neither Party must agree a change. Work outside the Services is chargeable at the Schedule 2 rate card.</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Purpose.</w:t>
      </w:r>
      <w:r>
        <w:rPr>
          <w:rFonts w:ascii="Calibri" w:cs="Calibri" w:eastAsia="Calibri" w:hAnsi="Calibri"/>
          <w:sz w:val="22"/>
          <w:szCs w:val="22"/>
        </w:rPr>
        <w:t xml:space="preserve"> The appointment being non-exclusive, this clause is the protection each Party receives in place of exclusivity. It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24 months after the later of expiry and termination of the relevant Engagement Order, OBVG will not directly or indirectly solicit, accept or provide channel services of the kind comprised in the Services to a Registered Client or its affiliates, assist a third party to do so, or introduce a Registered Client to another AWS Marketplace seller of record or prime provider for the purpose of procuring such services. This does not apply to a Prior Relationship under clause 4.4, to general marketing not targeted at Registered Clients, or to an approach the Registered Client initiates where OBVG declines it and notifies Automatum within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The population of AWS resellers is finite and a reseller typically carries many vendor lines, so a general restriction on OBVG working with firms it has recruited would protect no legitimate interest. OBVG may work with any Recruited Partner on other engagements. During the Term and for 12 months after, OBVG will not use Client Data to solicit any partner away from a Registered Client's channel, procure or encourage a Recruited Partner to terminate or breach its agreement relating to a Registered Client's channel, or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Automatum's covenant.</w:t>
      </w:r>
      <w:r>
        <w:rPr>
          <w:rFonts w:ascii="Calibri" w:cs="Calibri" w:eastAsia="Calibri" w:hAnsi="Calibri"/>
          <w:sz w:val="22"/>
          <w:szCs w:val="22"/>
        </w:rPr>
        <w:t xml:space="preserve"> During the Term and for 12 months after the later of expiry and termination of the relevant Engagement Order, Automatum will not provide services of the kind comprised in the Services to a Registered Client using OBVG Materials outside the licence in clause 16.3, or using personnel recruited from OBVG in breach of clause 15.5.</w:t>
      </w:r>
    </w:p>
    <w:p>
      <w:pPr>
        <w:spacing w:after="160" w:before="0" w:line="276"/>
        <w:jc w:val="both"/>
      </w:pPr>
      <w:r>
        <w:rPr>
          <w:rFonts w:ascii="Calibri" w:cs="Calibri" w:eastAsia="Calibri" w:hAnsi="Calibri"/>
          <w:b/>
          <w:bCs/>
          <w:sz w:val="22"/>
          <w:szCs w:val="22"/>
        </w:rPr>
        <w:t xml:space="preserve">15.5 Personnel.</w:t>
      </w:r>
      <w:r>
        <w:rPr>
          <w:rFonts w:ascii="Calibri" w:cs="Calibri" w:eastAsia="Calibri" w:hAnsi="Calibri"/>
          <w:sz w:val="22"/>
          <w:szCs w:val="22"/>
        </w:rPr>
        <w:t xml:space="preserve"> During the Term and for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other's personnel, responses to unsolicited applications, or engaging a person who ceased to be engaged by the other more than 6 months earlier. A Party in breach will pay the other 30% of the person's first year total compensation.</w:t>
      </w:r>
    </w:p>
    <w:p>
      <w:pPr>
        <w:spacing w:after="160" w:before="0" w:line="276"/>
        <w:jc w:val="both"/>
      </w:pPr>
      <w:r>
        <w:rPr>
          <w:rFonts w:ascii="Calibri" w:cs="Calibri" w:eastAsia="Calibri" w:hAnsi="Calibri"/>
          <w:b/>
          <w:bCs/>
          <w:sz w:val="22"/>
          <w:szCs w:val="22"/>
        </w:rPr>
        <w:t xml:space="preserve">15.6 Liquidated damages.</w:t>
      </w:r>
      <w:r>
        <w:rPr>
          <w:rFonts w:ascii="Calibri" w:cs="Calibri" w:eastAsia="Calibri" w:hAnsi="Calibri"/>
          <w:sz w:val="22"/>
          <w:szCs w:val="22"/>
        </w:rPr>
        <w:t xml:space="preserve"> If OBVG breaches clause 15.2 in respect of a Registered Client, OBVG will pay Automatum $35,000 for that Client. Automatum's loss in that event is the loss of its Platform Revenue stream and the cost of re-sourcing delivery; the Parties agree this amount is a reasonable estimate of that loss made at the time of contracting, that the actual loss would be difficult to determine, and that the amount is not a penalty and is not measured against gross Client Fees, which are not Automatum's loss.</w:t>
      </w:r>
    </w:p>
    <w:p>
      <w:pPr>
        <w:spacing w:after="160" w:before="0" w:line="276"/>
        <w:jc w:val="both"/>
      </w:pPr>
      <w:r>
        <w:rPr>
          <w:rFonts w:ascii="Calibri" w:cs="Calibri" w:eastAsia="Calibri" w:hAnsi="Calibri"/>
          <w:b/>
          <w:bCs/>
          <w:sz w:val="22"/>
          <w:szCs w:val="22"/>
        </w:rPr>
        <w:t xml:space="preserve">15.7 Injunctive relief and reasonableness.</w:t>
      </w:r>
      <w:r>
        <w:rPr>
          <w:rFonts w:ascii="Calibri" w:cs="Calibri" w:eastAsia="Calibri" w:hAnsi="Calibri"/>
          <w:sz w:val="22"/>
          <w:szCs w:val="22"/>
        </w:rPr>
        <w:t xml:space="preserve"> Damages alone may not be an adequate remedy for breach of this clause or clause 17, and either Party may seek injunctive relief without proving actual damage or posting a bond. The Parties have negotiated this clause as sophisticated commercial parties with the benefit of advice; if a court finds any restriction unreasonable in duration, scope or geography, it applies with the minimum modification needed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 OBVG retains all rights in the OBVG Materials, including the PSR, and Automatum retains all rights in the Automatum Brand. Nothing here transfers ownership of either.</w:t>
      </w:r>
    </w:p>
    <w:p>
      <w:pPr>
        <w:spacing w:after="160" w:before="0" w:line="276"/>
        <w:jc w:val="both"/>
      </w:pPr>
      <w:r>
        <w:rPr>
          <w:rFonts w:ascii="Calibri" w:cs="Calibri" w:eastAsia="Calibri" w:hAnsi="Calibri"/>
          <w:b/>
          <w:bCs/>
          <w:sz w:val="22"/>
          <w:szCs w:val="22"/>
        </w:rPr>
        <w:t xml:space="preserve">16.2 Client Data.</w:t>
      </w:r>
      <w:r>
        <w:rPr>
          <w:rFonts w:ascii="Calibri" w:cs="Calibri" w:eastAsia="Calibri" w:hAnsi="Calibri"/>
          <w:sz w:val="22"/>
          <w:szCs w:val="22"/>
        </w:rPr>
        <w:t xml:space="preserve"> Clause 10.3 governs.</w:t>
      </w:r>
    </w:p>
    <w:p>
      <w:pPr>
        <w:spacing w:after="160" w:before="0" w:line="276"/>
        <w:jc w:val="both"/>
      </w:pPr>
      <w:r>
        <w:rPr>
          <w:rFonts w:ascii="Calibri" w:cs="Calibri" w:eastAsia="Calibri" w:hAnsi="Calibri"/>
          <w:b/>
          <w:bCs/>
          <w:sz w:val="22"/>
          <w:szCs w:val="22"/>
        </w:rPr>
        <w:t xml:space="preserve">16.3 Client-facing deliverables.</w:t>
      </w:r>
      <w:r>
        <w:rPr>
          <w:rFonts w:ascii="Calibri" w:cs="Calibri" w:eastAsia="Calibri" w:hAnsi="Calibri"/>
          <w:sz w:val="22"/>
          <w:szCs w:val="22"/>
        </w:rPr>
        <w:t xml:space="preserve"> OBVG grants Automatum a perpetual, irrevocable, non-exclusive, worldwide, royalty-free, sublicensable licence to use, copy, modify and distribute the client-facing deliverables produced for a Registered Client, including that Client's partner agreements, margin schedule, enablement content, playbooks and reports, for that Client's own channel and for Automatum's performance of the relevant Client Agreement. This licence survives termination.</w:t>
      </w:r>
    </w:p>
    <w:p>
      <w:pPr>
        <w:spacing w:after="160" w:before="0" w:line="276"/>
        <w:jc w:val="both"/>
      </w:pPr>
      <w:r>
        <w:rPr>
          <w:rFonts w:ascii="Calibri" w:cs="Calibri" w:eastAsia="Calibri" w:hAnsi="Calibri"/>
          <w:b/>
          <w:bCs/>
          <w:sz w:val="22"/>
          <w:szCs w:val="22"/>
        </w:rPr>
        <w:t xml:space="preserve">16.4 Feedback.</w:t>
      </w:r>
      <w:r>
        <w:rPr>
          <w:rFonts w:ascii="Calibri" w:cs="Calibri" w:eastAsia="Calibri" w:hAnsi="Calibri"/>
          <w:sz w:val="22"/>
          <w:szCs w:val="22"/>
        </w:rPr>
        <w:t xml:space="preserve"> Each Party may use without restriction or obligation any suggestion or feedback the other gives about its products or services.</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means non-public information disclosed by or for a Party that is identified as confidential or that a reasonable person would understand to be confidential. The Client Registry, the Recruited Partner roster, the Client Data, the terms of this Agreement and each Engagement Order, and the existence and nature of OBVG's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it confidential, use it only to perform or enforce this Agreement, protect it with at least reasonable care, and disclose it only to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These obligations do not apply to information that is or becomes public without breach, was lawfully known without obligation before disclosure, is lawfully received from a third party without obligation, or is independently developed without use of it. A Party may disclose to the extent required by law, regulation or court order, giving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17.4 Duration.</w:t>
      </w:r>
      <w:r>
        <w:rPr>
          <w:rFonts w:ascii="Calibri" w:cs="Calibri" w:eastAsia="Calibri" w:hAnsi="Calibri"/>
          <w:sz w:val="22"/>
          <w:szCs w:val="22"/>
        </w:rPr>
        <w:t xml:space="preserve"> These obligations continue for 5 years after termination, and indefinitely for Client Data, Personal Data and trade secrets for as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For Personal Data in the Client Data, the Registered Client is the controller, Automatum acts on the Client's instructions, and OBVG acts as processor on Automatum's documented instructions. Schedule 5 Part C states the processing particulars.</w:t>
      </w:r>
    </w:p>
    <w:p>
      <w:pPr>
        <w:spacing w:after="160" w:before="0" w:line="276"/>
        <w:jc w:val="both"/>
      </w:pPr>
      <w:r>
        <w:rPr>
          <w:rFonts w:ascii="Calibri" w:cs="Calibri" w:eastAsia="Calibri" w:hAnsi="Calibri"/>
          <w:b/>
          <w:bCs/>
          <w:sz w:val="22"/>
          <w:szCs w:val="22"/>
        </w:rPr>
        <w:t xml:space="preserve">18.2 OBVG's obligations.</w:t>
      </w:r>
      <w:r>
        <w:rPr>
          <w:rFonts w:ascii="Calibri" w:cs="Calibri" w:eastAsia="Calibri" w:hAnsi="Calibri"/>
          <w:sz w:val="22"/>
          <w:szCs w:val="22"/>
        </w:rPr>
        <w:t xml:space="preserve"> OBVG will process Personal Data only on Automatum's documented instructions; bind authorized persons to confidentiality; implement the security measures in Schedule 5 Part C and not materially reduce them during the Term;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OBVG may engage subprocessors only from the list in Schedule 5 Part C or with Automatum's prior written consent, will impose equivalent obligations on them, and remains liable for them. OBVG will give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OBVG will notify Automatum without undue delay and within 24 hours of becoming aware of a security incident affecting Client Data or Personal Data, with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and the Parties will promptly execute any further data processing agreement or transfer mechanism a Privacy Law requires.</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has full power and authority to enter into and perform this Agreement, and that this Agreement is binding and enforceable against it.</w:t>
      </w:r>
    </w:p>
    <w:p>
      <w:pPr>
        <w:spacing w:after="160" w:before="0" w:line="276"/>
        <w:jc w:val="both"/>
      </w:pPr>
      <w:r>
        <w:rPr>
          <w:rFonts w:ascii="Calibri" w:cs="Calibri" w:eastAsia="Calibri" w:hAnsi="Calibri"/>
          <w:b/>
          <w:bCs/>
          <w:sz w:val="22"/>
          <w:szCs w:val="22"/>
        </w:rPr>
        <w:t xml:space="preserve">19.2 OBVG.</w:t>
      </w:r>
      <w:r>
        <w:rPr>
          <w:rFonts w:ascii="Calibri" w:cs="Calibri" w:eastAsia="Calibri" w:hAnsi="Calibri"/>
          <w:sz w:val="22"/>
          <w:szCs w:val="22"/>
        </w:rPr>
        <w:t xml:space="preserve"> OBVG warrants that it will perform the Services with reasonable skill and care and to good industry practice; that its personnel are suitably skilled, qualified and experienced; that clause 10.1 is accurate; and that the Services and OBVG Materials infringe no third party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seller of record registration, AWS Partner Network status and entitlements in clause 6.1; that it may grant the licence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applicable sanctions and export control laws, and applicable modern slavery laws. OBVG will apply the partner due diligence in clause 5.1(a), will not onboard a partner owned or controlled by a government official without Automatum's prior written consent, and will maintain records of commission payments available to audit under clause 12.4.</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MERCHANTABILITY, FITNESS FOR A PARTICULAR PURPOSE AND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OBVG.</w:t>
      </w:r>
      <w:r>
        <w:rPr>
          <w:rFonts w:ascii="Calibri" w:cs="Calibri" w:eastAsia="Calibri" w:hAnsi="Calibri"/>
          <w:sz w:val="22"/>
          <w:szCs w:val="22"/>
        </w:rPr>
        <w:t xml:space="preserve"> OBVG will defend Automatum against any third party claim, and indemnify it against Losses finally awarded or agreed in settlement, arising from infringement of intellectual property rights by the Services or OBVG Materials; OBVG's breach of clause 18; its breach of an AWS Program Term; its breach of clause 15; and any claim by OBVG's personnel that they are or were employed by Automatum.</w:t>
      </w:r>
    </w:p>
    <w:p>
      <w:pPr>
        <w:spacing w:after="160" w:before="0" w:line="276"/>
        <w:jc w:val="both"/>
      </w:pPr>
      <w:r>
        <w:rPr>
          <w:rFonts w:ascii="Calibri" w:cs="Calibri" w:eastAsia="Calibri" w:hAnsi="Calibri"/>
          <w:b/>
          <w:bCs/>
          <w:sz w:val="22"/>
          <w:szCs w:val="22"/>
        </w:rPr>
        <w:t xml:space="preserve">20.2 Automatum.</w:t>
      </w:r>
      <w:r>
        <w:rPr>
          <w:rFonts w:ascii="Calibri" w:cs="Calibri" w:eastAsia="Calibri" w:hAnsi="Calibri"/>
          <w:sz w:val="22"/>
          <w:szCs w:val="22"/>
        </w:rPr>
        <w:t xml:space="preserve"> Automatum will defend OBVG against any third party claim, and indemnify it against Losses finally awarded or agreed in settlement, arising from Automatum's breach of clause 6.5 or 6.6, including any commitment made to a Client beyond Schedules 1 and 4; its loss of, or a defect in, the listing, seller of record position or AWS Partner Network entitlements; infringement of intellectual property rights by the Automatum Brand; and its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promptly, give sole control of defence and settlement, and cooperate reasonably at the indemnifying Party's cost. The indemnifying Party will not settle in a way imposing a non-indemnified obligation or admission of liability without consent. Late notice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limits liability for death or personal injury caused by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is limited, per Engagement Order, to the greater of 100% of the OBVG Service Revenue paid and payable for that Engagement Order in the 12 months before the event and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 and for breach of clause 15, 17 or 18, is limited to the greater of 200% of the OBVG Service Revenue paid and payable in the 12 months before the event and $250,000.</w:t>
      </w:r>
    </w:p>
    <w:p>
      <w:pPr>
        <w:spacing w:after="160" w:before="0" w:line="276"/>
        <w:jc w:val="both"/>
      </w:pPr>
      <w:r>
        <w:rPr>
          <w:rFonts w:ascii="Calibri" w:cs="Calibri" w:eastAsia="Calibri" w:hAnsi="Calibri"/>
          <w:b/>
          <w:bCs/>
          <w:sz w:val="22"/>
          <w:szCs w:val="22"/>
        </w:rPr>
        <w:t xml:space="preserve">21.5 Direct loss.</w:t>
      </w:r>
      <w:r>
        <w:rPr>
          <w:rFonts w:ascii="Calibri" w:cs="Calibri" w:eastAsia="Calibri" w:hAnsi="Calibri"/>
          <w:sz w:val="22"/>
          <w:szCs w:val="22"/>
        </w:rPr>
        <w:t xml:space="preserve"> Notwithstanding clause 21.2, the following are recoverable as direct loss: Service Credits flowing down under clause 8.4 within the caps in clause 8.5; the cost of procuring replacement services after OBVG's default, up to the cap in clause 21.3; and amounts payable under clauses 15.5 and 15.6.</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these caps.</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sz w:val="22"/>
          <w:szCs w:val="22"/>
        </w:rPr>
        <w:t xml:space="preserve">OBVG will maintain, with insurers of good standing, commercial general liability, professional indemnity or errors and omissions, cyber liability, and employer's liability insurance, each at the limit in Schedule 8, for the Term and 2 years after, will provide certificates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24 months (the "Initial Term"), then renews for successive 12 month periods unless either Party gives 90 days' notice before the end of the then current period. "Term" means the Initial Term with any renewal.</w:t>
      </w:r>
    </w:p>
    <w:p>
      <w:pPr>
        <w:spacing w:after="160" w:before="0" w:line="276"/>
        <w:jc w:val="both"/>
      </w:pPr>
      <w:r>
        <w:rPr>
          <w:rFonts w:ascii="Calibri" w:cs="Calibri" w:eastAsia="Calibri" w:hAnsi="Calibri"/>
          <w:b/>
          <w:bCs/>
          <w:sz w:val="22"/>
          <w:szCs w:val="22"/>
        </w:rPr>
        <w:t xml:space="preserve">23.2 No orphaning.</w:t>
      </w:r>
      <w:r>
        <w:rPr>
          <w:rFonts w:ascii="Calibri" w:cs="Calibri" w:eastAsia="Calibri" w:hAnsi="Calibri"/>
          <w:sz w:val="22"/>
          <w:szCs w:val="22"/>
        </w:rPr>
        <w:t xml:space="preserve"> Expiry or termination does not terminate an Engagement Order then in effect. Each continues to its natural expiry and this Agreement continues to govern it, unless that Engagement Order is itself terminated under this clause.</w:t>
      </w:r>
    </w:p>
    <w:p>
      <w:pPr>
        <w:spacing w:after="160" w:before="0" w:line="276"/>
        <w:jc w:val="both"/>
      </w:pPr>
      <w:r>
        <w:rPr>
          <w:rFonts w:ascii="Calibri" w:cs="Calibri" w:eastAsia="Calibri" w:hAnsi="Calibri"/>
          <w:b/>
          <w:bCs/>
          <w:sz w:val="22"/>
          <w:szCs w:val="22"/>
        </w:rPr>
        <w:t xml:space="preserve">23.3 Convenience.</w:t>
      </w:r>
      <w:r>
        <w:rPr>
          <w:rFonts w:ascii="Calibri" w:cs="Calibri" w:eastAsia="Calibri" w:hAnsi="Calibri"/>
          <w:sz w:val="22"/>
          <w:szCs w:val="22"/>
        </w:rPr>
        <w:t xml:space="preserve"> Either Party may terminate this Agreement on 90 days' notice. Clause 23.2 applies, so this stops new Engagement Orders but does not end existing ones.</w:t>
      </w:r>
    </w:p>
    <w:p>
      <w:pPr>
        <w:spacing w:after="160" w:before="0" w:line="276"/>
        <w:jc w:val="both"/>
      </w:pPr>
      <w:r>
        <w:rPr>
          <w:rFonts w:ascii="Calibri" w:cs="Calibri" w:eastAsia="Calibri" w:hAnsi="Calibri"/>
          <w:b/>
          <w:bCs/>
          <w:sz w:val="22"/>
          <w:szCs w:val="22"/>
        </w:rPr>
        <w:t xml:space="preserve">23.4 Cause.</w:t>
      </w:r>
      <w:r>
        <w:rPr>
          <w:rFonts w:ascii="Calibri" w:cs="Calibri" w:eastAsia="Calibri" w:hAnsi="Calibri"/>
          <w:sz w:val="22"/>
          <w:szCs w:val="22"/>
        </w:rPr>
        <w:t xml:space="preserve"> Either Party may terminate this Agreement, or a single Engagement Order, immediately on notice if the other commits a material breach that is incapable of remedy, or that is capable of remedy and is not remedied within 30 days of notice. Automatum may terminate a single Engagement Order under clause 8.7, and OBVG under clause 11.7.</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immediately on notice if the other enters an insolvency process, has a receiver, administrator or trustee appointed over a material part of its assets, makes a general assignment for the benefit of creditors, or ceases business. Clause 10.9 applies to licences granted here.</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7.7, 10.3, 10.5, 10.7, 10.8, 10.9, 11 for amounts accrued, 12.4, 15, 16, 17, 18, 20, 21, 22, 23.6, 24, 26 and 27 survive termination, with any provision that by its nature is intended to.</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an Engagement Order, OBVG will provide transition assistance for 90 days, extendable by Automatum to 180 days on notice given before the initial period ends. It is at OBVG's cost where termination is for OBVG's breach or insolvency, and at the Schedule 2 rate card in every other case.</w:t>
      </w:r>
    </w:p>
    <w:p>
      <w:pPr>
        <w:spacing w:after="160" w:before="0" w:line="276"/>
        <w:jc w:val="both"/>
      </w:pPr>
      <w:r>
        <w:rPr>
          <w:rFonts w:ascii="Calibri" w:cs="Calibri" w:eastAsia="Calibri" w:hAnsi="Calibri"/>
          <w:b/>
          <w:bCs/>
          <w:sz w:val="22"/>
          <w:szCs w:val="22"/>
        </w:rPr>
        <w:t xml:space="preserve">24.2 Deliverables.</w:t>
      </w:r>
      <w:r>
        <w:rPr>
          <w:rFonts w:ascii="Calibri" w:cs="Calibri" w:eastAsia="Calibri" w:hAnsi="Calibri"/>
          <w:sz w:val="22"/>
          <w:szCs w:val="22"/>
        </w:rPr>
        <w:t xml:space="preserve"> Transition assistance comprises a verified full export of the Client Data under clause 10.4 with a restore test; knowledge transfer;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and continuation of the licence in clause 16.3.</w:t>
      </w:r>
    </w:p>
    <w:p>
      <w:pPr>
        <w:spacing w:after="160" w:before="0" w:line="276"/>
        <w:jc w:val="both"/>
      </w:pPr>
      <w:r>
        <w:rPr>
          <w:rFonts w:ascii="Calibri" w:cs="Calibri" w:eastAsia="Calibri" w:hAnsi="Calibri"/>
          <w:b/>
          <w:bCs/>
          <w:sz w:val="22"/>
          <w:szCs w:val="22"/>
        </w:rPr>
        <w:t xml:space="preserve">24.3 Conduct.</w:t>
      </w:r>
      <w:r>
        <w:rPr>
          <w:rFonts w:ascii="Calibri" w:cs="Calibri" w:eastAsia="Calibri" w:hAnsi="Calibri"/>
          <w:sz w:val="22"/>
          <w:szCs w:val="22"/>
        </w:rPr>
        <w:t xml:space="preserve"> Throughout, OBVG continues to perform the Services, the service levels continue to apply, and clause 7 continues to apply so that no Client or Recruited Partner learns of OBVG's role or of the termination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programme rule is </w:t>
      </w:r>
      <w:r>
        <w:rPr>
          <w:rFonts w:ascii="Calibri" w:cs="Calibri" w:eastAsia="Calibri" w:hAnsi="Calibri"/>
          <w:b/>
          <w:bCs/>
          <w:sz w:val="22"/>
          <w:szCs w:val="22"/>
        </w:rPr>
        <w:t xml:space="preserve">not</w:t>
      </w:r>
      <w:r>
        <w:rPr>
          <w:rFonts w:ascii="Calibri" w:cs="Calibri" w:eastAsia="Calibri" w:hAnsi="Calibri"/>
          <w:sz w:val="22"/>
          <w:szCs w:val="22"/>
        </w:rPr>
        <w:t xml:space="preserve"> a Force Majeure Event; clauses 13.6 and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promptly and use reasonable efforts to mitigate. If a Force Majeure Event continues 60 consecutive days, either Party may terminate the affected Engagement Order on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 and escalation.</w:t>
      </w:r>
      <w:r>
        <w:rPr>
          <w:rFonts w:ascii="Calibri" w:cs="Calibri" w:eastAsia="Calibri" w:hAnsi="Calibri"/>
          <w:sz w:val="22"/>
          <w:szCs w:val="22"/>
        </w:rPr>
        <w:t xml:space="preserve"> The Parties will hold a monthly service review and a quarterly business review, attended by the relationship managers in Schedule 7. A dispute is escalated first to those managers, then to an executive of each Party, each stage allowing 10 Business Days. Neither Party may commence proceedings, other than for injunctive relief under clause 15.7, until escalation is exhausted.</w:t>
      </w:r>
    </w:p>
    <w:p>
      <w:pPr>
        <w:spacing w:after="160" w:before="0" w:line="276"/>
        <w:jc w:val="both"/>
      </w:pPr>
      <w:r>
        <w:rPr>
          <w:rFonts w:ascii="Calibri" w:cs="Calibri" w:eastAsia="Calibri" w:hAnsi="Calibri"/>
          <w:b/>
          <w:bCs/>
          <w:sz w:val="22"/>
          <w:szCs w:val="22"/>
        </w:rPr>
        <w:t xml:space="preserve">26.2 Independent contractors.</w:t>
      </w:r>
      <w:r>
        <w:rPr>
          <w:rFonts w:ascii="Calibri" w:cs="Calibri" w:eastAsia="Calibri" w:hAnsi="Calibri"/>
          <w:sz w:val="22"/>
          <w:szCs w:val="22"/>
        </w:rPr>
        <w:t xml:space="preserve"> The Parties are independent contractors. This Agreement creates no partnership, joint venture, franchise, agency or employment relationship, except the limited agency in clause 5.3 and any agency Automatum expressly grants in writing.</w:t>
      </w:r>
    </w:p>
    <w:p>
      <w:pPr>
        <w:spacing w:after="160" w:before="0" w:line="276"/>
        <w:jc w:val="both"/>
      </w:pPr>
      <w:r>
        <w:rPr>
          <w:rFonts w:ascii="Calibri" w:cs="Calibri" w:eastAsia="Calibri" w:hAnsi="Calibri"/>
          <w:b/>
          <w:bCs/>
          <w:sz w:val="22"/>
          <w:szCs w:val="22"/>
        </w:rPr>
        <w:t xml:space="preserve">26.3 Assignment.</w:t>
      </w:r>
      <w:r>
        <w:rPr>
          <w:rFonts w:ascii="Calibri" w:cs="Calibri" w:eastAsia="Calibri" w:hAnsi="Calibri"/>
          <w:sz w:val="22"/>
          <w:szCs w:val="22"/>
        </w:rPr>
        <w:t xml:space="preserve"> Neither Party may assign or transfer this Agreement without the other's prior written consent, not to be unreasonably withheld, except to an affiliate or a successor in a merger or sale of substantially all its assets, on notice. If a Party is acquired by a competitor of the other, the other may terminate on 60 days' notice, and clause 23.2 applies.</w:t>
      </w:r>
    </w:p>
    <w:p>
      <w:pPr>
        <w:spacing w:after="160" w:before="0" w:line="276"/>
        <w:jc w:val="both"/>
      </w:pPr>
      <w:r>
        <w:rPr>
          <w:rFonts w:ascii="Calibri" w:cs="Calibri" w:eastAsia="Calibri" w:hAnsi="Calibri"/>
          <w:b/>
          <w:bCs/>
          <w:sz w:val="22"/>
          <w:szCs w:val="22"/>
        </w:rPr>
        <w:t xml:space="preserve">26.4 Notices.</w:t>
      </w:r>
      <w:r>
        <w:rPr>
          <w:rFonts w:ascii="Calibri" w:cs="Calibri" w:eastAsia="Calibri" w:hAnsi="Calibri"/>
          <w:sz w:val="22"/>
          <w:szCs w:val="22"/>
        </w:rPr>
        <w:t xml:space="preserve"> Notices must be in writing to the addresses in Schedule 8, by hand, by recognized courier, or by email to the address stated for legal notices with a copy by courier, effective on delivery or the next Business Day if delivered outside business hours.</w:t>
      </w:r>
    </w:p>
    <w:p>
      <w:pPr>
        <w:spacing w:after="160" w:before="0" w:line="276"/>
        <w:jc w:val="both"/>
      </w:pPr>
      <w:r>
        <w:rPr>
          <w:rFonts w:ascii="Calibri" w:cs="Calibri" w:eastAsia="Calibri" w:hAnsi="Calibri"/>
          <w:b/>
          <w:bCs/>
          <w:sz w:val="22"/>
          <w:szCs w:val="22"/>
        </w:rPr>
        <w:t xml:space="preserve">26.5 Entire agreement.</w:t>
      </w:r>
      <w:r>
        <w:rPr>
          <w:rFonts w:ascii="Calibri" w:cs="Calibri" w:eastAsia="Calibri" w:hAnsi="Calibri"/>
          <w:sz w:val="22"/>
          <w:szCs w:val="22"/>
        </w:rPr>
        <w:t xml:space="preserve"> This Agreement is the entire agreement on its subject matter and supersedes all prior discussions, understandings and representations, none of which binds either Party. Neither Party has relied on any statement not set out here. This does not limit liability for fraud.</w:t>
      </w:r>
    </w:p>
    <w:p>
      <w:pPr>
        <w:spacing w:after="160" w:before="0" w:line="276"/>
        <w:jc w:val="both"/>
      </w:pPr>
      <w:r>
        <w:rPr>
          <w:rFonts w:ascii="Calibri" w:cs="Calibri" w:eastAsia="Calibri" w:hAnsi="Calibri"/>
          <w:b/>
          <w:bCs/>
          <w:sz w:val="22"/>
          <w:szCs w:val="22"/>
        </w:rPr>
        <w:t xml:space="preserve">26.6 Amendment, waiver and severability.</w:t>
      </w:r>
      <w:r>
        <w:rPr>
          <w:rFonts w:ascii="Calibri" w:cs="Calibri" w:eastAsia="Calibri" w:hAnsi="Calibri"/>
          <w:sz w:val="22"/>
          <w:szCs w:val="22"/>
        </w:rPr>
        <w:t xml:space="preserve"> An amendment is effective only in writing signed by both Parties or by change order under clause 14.5. A waiver is effective only in writing, and delay in exercising a right is not a waiver. If a provision is held invalid it is modified to the minimum extent needed to make it enforceable, or severed if it cannot be, and the rest continues; clause 15.7 applies to clause 15.</w:t>
      </w:r>
    </w:p>
    <w:p>
      <w:pPr>
        <w:spacing w:after="160" w:before="0" w:line="276"/>
        <w:jc w:val="both"/>
      </w:pPr>
      <w:r>
        <w:rPr>
          <w:rFonts w:ascii="Calibri" w:cs="Calibri" w:eastAsia="Calibri" w:hAnsi="Calibri"/>
          <w:b/>
          <w:bCs/>
          <w:sz w:val="22"/>
          <w:szCs w:val="22"/>
        </w:rPr>
        <w:t xml:space="preserve">26.7 No third party rights.</w:t>
      </w:r>
      <w:r>
        <w:rPr>
          <w:rFonts w:ascii="Calibri" w:cs="Calibri" w:eastAsia="Calibri" w:hAnsi="Calibri"/>
          <w:sz w:val="22"/>
          <w:szCs w:val="22"/>
        </w:rPr>
        <w:t xml:space="preserve"> No person other than the Parties may enforce this Agreement, except that a Registered Client may enforce clause 16.3 to the extent necessary to retain the materials its channel runs on.</w:t>
      </w:r>
    </w:p>
    <w:p>
      <w:pPr>
        <w:spacing w:after="160" w:before="0" w:line="276"/>
        <w:jc w:val="both"/>
      </w:pPr>
      <w:r>
        <w:rPr>
          <w:rFonts w:ascii="Calibri" w:cs="Calibri" w:eastAsia="Calibri" w:hAnsi="Calibri"/>
          <w:b/>
          <w:bCs/>
          <w:sz w:val="22"/>
          <w:szCs w:val="22"/>
        </w:rPr>
        <w:t xml:space="preserve">26.8 Counterparts.</w:t>
      </w:r>
      <w:r>
        <w:rPr>
          <w:rFonts w:ascii="Calibri" w:cs="Calibri" w:eastAsia="Calibri" w:hAnsi="Calibri"/>
          <w:sz w:val="22"/>
          <w:szCs w:val="22"/>
        </w:rPr>
        <w:t xml:space="preserve"> This Agreement may be executed in counterparts, including by electronic signature, each an original and all together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w:t>
      </w:r>
      <w:r>
        <w:rPr>
          <w:rFonts w:ascii="Calibri" w:cs="Calibri" w:eastAsia="Calibri" w:hAnsi="Calibri"/>
          <w:sz w:val="22"/>
          <w:szCs w:val="22"/>
        </w:rPr>
        <w:t xml:space="preserve"> Subject to clause 26.1, the state and federal courts in New York County, New York have exclusive jurisdiction, and each Party irrevocably submits to it and waives any objection based on venue or forum non conveniens.</w:t>
      </w:r>
    </w:p>
    <w:p>
      <w:pPr>
        <w:spacing w:after="160" w:before="0" w:line="276"/>
        <w:jc w:val="both"/>
      </w:pPr>
      <w:r>
        <w:rPr>
          <w:rFonts w:ascii="Calibri" w:cs="Calibri" w:eastAsia="Calibri" w:hAnsi="Calibri"/>
          <w:b/>
          <w:bCs/>
          <w:sz w:val="22"/>
          <w:szCs w:val="22"/>
        </w:rPr>
        <w:t xml:space="preserve">27.3</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12 month engagement under which Automatum builds and runs a reseller channel on AWS for a Registered Client. Delivery is executed partner agreements and a margin schedule, a live partner portal carrying onboarding, deal registration and commission tracking, recruitment and enablement on a named cadence, a deal desk answering registrations, and a monthly report whose headline number is the Offer-Issuing Partner count. Clause 5.1 states what OBVG performs; this Schedule states what varies by Tier.</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fortnightly</w:t>
            </w:r>
          </w:p>
        </w:tc>
      </w:tr>
    </w:tbl>
    <w:p>
      <w:pPr>
        <w:spacing w:after="160"/>
      </w:pPr>
      <w:r>
        <w:t xml:space="preserve"/>
      </w:r>
    </w:p>
    <w:p>
      <w:pPr>
        <w:spacing w:after="160" w:before="0" w:line="276"/>
        <w:jc w:val="both"/>
      </w:pPr>
      <w:r>
        <w:rPr>
          <w:rFonts w:ascii="Calibri" w:cs="Calibri" w:eastAsia="Calibri" w:hAnsi="Calibri"/>
          <w:sz w:val="22"/>
          <w:szCs w:val="22"/>
        </w:rPr>
        <w:t xml:space="preserve">Everything else in clause 5.1 applies at every Tier. Clause 5.2 governs the partner numbers, which are a ceiling and not a minimum.</w:t>
      </w:r>
    </w:p>
    <w:p>
      <w:pPr>
        <w:pStyle w:val="Heading2"/>
        <w:keepNext/>
        <w:spacing w:after="140" w:before="300"/>
      </w:pPr>
      <w:r>
        <w:rPr>
          <w:rFonts w:ascii="Calibri" w:cs="Calibri" w:eastAsia="Calibri" w:hAnsi="Calibri"/>
          <w:b/>
          <w:bCs/>
          <w:sz w:val="24"/>
          <w:szCs w:val="24"/>
        </w:rPr>
        <w:t xml:space="preserve">3. Tier 3: uncapped roster, not unlimited rate</w:t>
      </w:r>
    </w:p>
    <w:p>
      <w:pPr>
        <w:spacing w:after="160" w:before="0" w:line="276"/>
        <w:jc w:val="both"/>
      </w:pPr>
      <w:r>
        <w:rPr>
          <w:rFonts w:ascii="Calibri" w:cs="Calibri" w:eastAsia="Calibri" w:hAnsi="Calibri"/>
          <w:sz w:val="22"/>
          <w:szCs w:val="22"/>
        </w:rPr>
        <w:t xml:space="preserve">There is no contractual ceiling on the total number of Recruited Partners over a Tier 3 Engagement. OBVG's obligation is throughput:</w:t>
      </w:r>
    </w:p>
    <w:p>
      <w:pPr>
        <w:pStyle w:val="ListParagraph"/>
        <w:numPr>
          <w:ilvl w:val="0"/>
          <w:numId w:val="1"/>
        </w:numPr>
        <w:spacing w:after="80" w:before="40" w:line="276"/>
      </w:pPr>
      <w:r>
        <w:rPr>
          <w:rFonts w:ascii="Calibri" w:cs="Calibri" w:eastAsia="Calibri" w:hAnsi="Calibri"/>
          <w:sz w:val="22"/>
          <w:szCs w:val="22"/>
        </w:rPr>
        <w:t xml:space="preserve">OBVG will process up to the Onboarding Throughput Rate in the Engagement Order per month and maintain up to the stated number of concurrent onboardings, as a first-in-first-out queue with queue position visible in the PSR. Requests above the rate are queued, and queuing is not a service level failure.</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150% of Baseline over any rolling 3 months, either Party may invoke clause 14.5 and Automatum will use reasonable efforts to obtain an uplift or a move to a bespoke tier. If the Client will not agree, OBVG's obligation is capped at Baseline plus fair use and Automatum carries the difference against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in the Engagement Order, incremental PSR licence cost passes through at cost under clause 14.5, unless OBVG has warranted in the Engagement Order that it holds an unlimited-partner licence.</w:t>
      </w:r>
    </w:p>
    <w:p>
      <w:pPr>
        <w:pStyle w:val="Heading2"/>
        <w:keepNext/>
        <w:spacing w:after="140" w:before="300"/>
      </w:pPr>
      <w:r>
        <w:rPr>
          <w:rFonts w:ascii="Calibri" w:cs="Calibri" w:eastAsia="Calibri" w:hAnsi="Calibri"/>
          <w:b/>
          <w:bCs/>
          <w:sz w:val="24"/>
          <w:szCs w:val="24"/>
        </w:rPr>
        <w:t xml:space="preserve">4. Partner milestones are targets, not warranties</w:t>
      </w:r>
    </w:p>
    <w:p>
      <w:pPr>
        <w:spacing w:after="160" w:before="0" w:line="276"/>
        <w:jc w:val="both"/>
      </w:pPr>
      <w:r>
        <w:rPr>
          <w:rFonts w:ascii="Calibri" w:cs="Calibri" w:eastAsia="Calibri" w:hAnsi="Calibri"/>
          <w:sz w:val="22"/>
          <w:szCs w:val="22"/>
        </w:rPr>
        <w:t xml:space="preserve">The programme target is that a Recruited Partner achieves its first Transaction by the end of the first quarter following its partner agreement signature date. This is a target supported by a best efforts obligation and a reporting duty, not a warranty, because partner timelines depend on the partner completing AWS registration, tax, banking and service-linked role requirements, which is outside the control of OBVG, Automatum and the Registered Client. Clause 8.3 stops the clock while a partner is pending those requirements.</w:t>
      </w:r>
    </w:p>
    <w:p>
      <w:pPr>
        <w:pStyle w:val="Heading2"/>
        <w:keepNext/>
        <w:spacing w:after="140" w:before="300"/>
      </w:pPr>
      <w:r>
        <w:rPr>
          <w:rFonts w:ascii="Calibri" w:cs="Calibri" w:eastAsia="Calibri" w:hAnsi="Calibri"/>
          <w:b/>
          <w:bCs/>
          <w:sz w:val="24"/>
          <w:szCs w:val="24"/>
        </w:rPr>
        <w:t xml:space="preserve">5. Active Partner measurement</w:t>
      </w:r>
    </w:p>
    <w:p>
      <w:pPr>
        <w:spacing w:after="160" w:before="0" w:line="276"/>
        <w:jc w:val="both"/>
      </w:pPr>
      <w:r>
        <w:rPr>
          <w:rFonts w:ascii="Calibri" w:cs="Calibri" w:eastAsia="Calibri" w:hAnsi="Calibri"/>
          <w:sz w:val="22"/>
          <w:szCs w:val="22"/>
        </w:rPr>
        <w:t xml:space="preserve">An Engagement Year is 12 months and an Active Partner must have transacted within 365 days, so a partner recruited late in an Engagement cannot reach Active Partner status within it. Accordingly Active Partner counts are measured on a trailing basis and again at a post-term measurement date 3 months after the end of the Engagement Year; Recruited Partners onboarded in the final 90 days of an Engagement Year are excluded from any in-term ratio expressed by reference to Active Partners; and no fee, credit or commitment is calculated by reference to an Active Partner count for a period in which the partner could not arithmetically have qualified.</w:t>
      </w:r>
    </w:p>
    <w:p>
      <w:pPr>
        <w:pStyle w:val="Heading2"/>
        <w:keepNext/>
        <w:spacing w:after="140" w:before="300"/>
      </w:pPr>
      <w:r>
        <w:rPr>
          <w:rFonts w:ascii="Calibri" w:cs="Calibri" w:eastAsia="Calibri" w:hAnsi="Calibri"/>
          <w:b/>
          <w:bCs/>
          <w:sz w:val="24"/>
          <w:szCs w:val="24"/>
        </w:rPr>
        <w:t xml:space="preserve">6. Out of scope</w:t>
      </w:r>
    </w:p>
    <w:p>
      <w:pPr>
        <w:spacing w:after="160" w:before="0" w:line="276"/>
        <w:jc w:val="both"/>
      </w:pPr>
      <w:r>
        <w:rPr>
          <w:rFonts w:ascii="Calibri" w:cs="Calibri" w:eastAsia="Calibri" w:hAnsi="Calibri"/>
          <w:sz w:val="22"/>
          <w:szCs w:val="22"/>
        </w:rPr>
        <w:t xml:space="preserve">Anything not described in clause 5.1 or this Schedule, including bespoke integration work, partner marketing spend, channel incentive funding, legal advice, and services for a Client's direct customers, is chargeable under clause 14.5 at the Schedule 2 rate card.</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The split</w:t>
      </w:r>
    </w:p>
    <w:p>
      <w:pPr>
        <w:spacing w:after="160" w:before="0" w:line="276"/>
        <w:jc w:val="both"/>
      </w:pPr>
      <w:r>
        <w:rPr>
          <w:rFonts w:ascii="Calibri" w:cs="Calibri" w:eastAsia="Calibri" w:hAnsi="Calibri"/>
          <w:sz w:val="22"/>
          <w:szCs w:val="22"/>
        </w:rPr>
        <w:t xml:space="preserve">Platform Revenue is $9,999 per Engagement Year at every Tier and belongs to Automatum in every case, accruing at $833.25 per Engagement Month. Service Revenue is the balance and divides by Client Status under clause 11.1.</w:t>
      </w:r>
    </w:p>
    <w:p>
      <w:pPr>
        <w:spacing w:after="160" w:before="0" w:line="276"/>
        <w:jc w:val="both"/>
      </w:pPr>
      <w:r>
        <w:rPr>
          <w:rFonts w:ascii="Calibri" w:cs="Calibri" w:eastAsia="Calibri" w:hAnsi="Calibri"/>
          <w:b/>
          <w:bCs/>
          <w:sz w:val="22"/>
          <w:szCs w:val="22"/>
        </w:rPr>
        <w:t xml:space="preserve">Net New Client - Service Revenue retained in full by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7"/>
        <w:gridCol w:w="1985"/>
        <w:gridCol w:w="1796"/>
        <w:gridCol w:w="1513"/>
        <w:gridCol w:w="2175"/>
        <w:gridCol w:w="1324"/>
      </w:tblGrid>
      <w:tr>
        <w:trPr>
          <w:tblHeader/>
        </w:trPr>
        <w:tc>
          <w:tcPr>
            <w:tcW w:type="dxa" w:w="56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98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79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per Engagement Year</w:t>
            </w:r>
          </w:p>
        </w:tc>
        <w:tc>
          <w:tcPr>
            <w:tcW w:type="dxa" w:w="151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w:t>
            </w:r>
          </w:p>
        </w:tc>
        <w:tc>
          <w:tcPr>
            <w:tcW w:type="dxa" w:w="21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to OBVG</w:t>
            </w:r>
          </w:p>
        </w:tc>
        <w:tc>
          <w:tcPr>
            <w:tcW w:type="dxa" w:w="132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OBVG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9"/>
        <w:gridCol w:w="1671"/>
        <w:gridCol w:w="1114"/>
        <w:gridCol w:w="1671"/>
        <w:gridCol w:w="1560"/>
        <w:gridCol w:w="2675"/>
      </w:tblGrid>
      <w:tr>
        <w:trPr>
          <w:tblHeader/>
        </w:trPr>
        <w:tc>
          <w:tcPr>
            <w:tcW w:type="dxa" w:w="6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1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(75%)</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(25%)</w:t>
            </w:r>
          </w:p>
        </w:tc>
        <w:tc>
          <w:tcPr>
            <w:tcW w:type="dxa" w:w="156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c>
          <w:tcPr>
            <w:tcW w:type="dxa" w:w="26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the Client already pays plus Automatum's 25% share, stated so the two Client Statuses can be compared.</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the twelve amounts total the annual share exactly.</w:t>
      </w:r>
    </w:p>
    <w:p>
      <w:pPr>
        <w:spacing w:after="160" w:before="0" w:line="276"/>
        <w:jc w:val="both"/>
      </w:pPr>
      <w:r>
        <w:rPr>
          <w:rFonts w:ascii="Calibri" w:cs="Calibri" w:eastAsia="Calibri" w:hAnsi="Calibri"/>
          <w:sz w:val="22"/>
          <w:szCs w:val="22"/>
        </w:rPr>
        <w:t xml:space="preserve">These figures assume Client Fees are collected in full. Where they are not, Platform Revenue and each Party's share of Service Revenue accrue only against Collected Client Fees, and the shortfall is borne in the proportions above for the affected Engagement Month.</w:t>
      </w:r>
    </w:p>
    <w:p>
      <w:pPr>
        <w:pStyle w:val="Heading2"/>
        <w:keepNext/>
        <w:spacing w:after="140" w:before="300"/>
      </w:pPr>
      <w:r>
        <w:rPr>
          <w:rFonts w:ascii="Calibri" w:cs="Calibri" w:eastAsia="Calibri" w:hAnsi="Calibri"/>
          <w:b/>
          <w:bCs/>
          <w:sz w:val="24"/>
          <w:szCs w:val="24"/>
        </w:rPr>
        <w:t xml:space="preserve">2. Worked example - Tier 2, full Engagement Year</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$60,000 collected. Platform Revenue $9,999 to Automatum at $833.25 per month. Service Revenue $50,001 retained by OBVG at $4,166.75 per month.</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The same $60,000 collected, the Client's existing subscription continuing alongside. Service Revenue $50,001 divides $37,500.75 to OBVG and $12,500.25 to Automatum, and OBVG invoices $3,125.06 monthly.</w:t>
      </w:r>
    </w:p>
    <w:p>
      <w:pPr>
        <w:pStyle w:val="Heading2"/>
        <w:keepNext/>
        <w:spacing w:after="140" w:before="300"/>
      </w:pPr>
      <w:r>
        <w:rPr>
          <w:rFonts w:ascii="Calibri" w:cs="Calibri" w:eastAsia="Calibri" w:hAnsi="Calibri"/>
          <w:b/>
          <w:bCs/>
          <w:sz w:val="24"/>
          <w:szCs w:val="24"/>
        </w:rPr>
        <w:t xml:space="preserve">3. Worked example - Tier 1, terminated at the end of Engagement Month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9"/>
        <w:gridCol w:w="1702"/>
        <w:gridCol w:w="3039"/>
      </w:tblGrid>
      <w:tr>
        <w:trPr>
          <w:tblHeader/>
        </w:trPr>
        <w:tc>
          <w:tcPr>
            <w:tcW w:type="dxa" w:w="46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70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Net New Client</w:t>
            </w:r>
          </w:p>
        </w:tc>
        <w:tc>
          <w:tcPr>
            <w:tcW w:type="dxa" w:w="303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Existing Automatum Client</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accrued</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$3,750.19</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share of Service Revenue</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nil</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on account of the terminated Engagement except under paragraph 4. Automatum has recovered $2,499.75 of the $9,999 it commits annually for its Enterprise tier; that shortfall follows from the pro rata accrual in clause 11.2 and is addressed, if at all, in the Client Agreement. Schedule 8 paragraph 3.2 records it as an open item.</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1"/>
        <w:gridCol w:w="7399"/>
      </w:tblGrid>
      <w:tr>
        <w:trPr>
          <w:tblHeader/>
        </w:trPr>
        <w:tc>
          <w:tcPr>
            <w:tcW w:type="dxa" w:w="196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739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Any early termination charge collected is split in the proportions in paragraph 1 for that Tier and Client Status.</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OBVG's breach or Chronic Failure</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OBVG forfeits its share of any early termination charge and funds transition assistance under clause 24.1.</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Automatum's breach or convenience</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OBVG is paid the greater of 3 months' OBVG Service Revenue and the OBVG Service Revenue for the remainder of the Engagement Year, plus evidenced demobilization costs.</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25.3</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keeps what accrued, and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Effective the first day of the Engagement Month following the Client's written request. The enhanced service levels apply from 30 days after, so OBVG can staff to them.</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Effective only at an Engagement quarter boundary on 60 days' notice.</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by change order under clause 14.5, chargeable at the rate card; or resolved by trimming the roster to the supported level within 60 days; or resolved by re-scoping as a bespoke tier. Absent agreement within 60 days, OBVG's obligation is limited to the new Tier's supported level and Automatum carries the difference against the Client.</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 of scope work under clause 14.5, chargeable transition assistance under clause 24.1,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Programme Director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OBVG personnel doing client-facing or partner-facing work operate under the Automatum Brand, using Automatum-supplied email addresses on an Automatum domain, Automatum calendar invitations, document templates and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OBVG personnel are presented as "the Automatum channel team". They may say they are part of that team, that they work on Automatum's channel programme, and that they are contractors or partners of Automatum where directly asked. They may </w:t>
      </w:r>
      <w:r>
        <w:rPr>
          <w:rFonts w:ascii="Calibri" w:cs="Calibri" w:eastAsia="Calibri" w:hAnsi="Calibri"/>
          <w:b/>
          <w:bCs/>
          <w:sz w:val="22"/>
          <w:szCs w:val="22"/>
        </w:rPr>
        <w:t xml:space="preserve">not</w:t>
      </w:r>
      <w:r>
        <w:rPr>
          <w:rFonts w:ascii="Calibri" w:cs="Calibri" w:eastAsia="Calibri" w:hAnsi="Calibri"/>
          <w:sz w:val="22"/>
          <w:szCs w:val="22"/>
        </w:rPr>
        <w:t xml:space="preserve"> state or imply that they are employed by Automatum, sign any document as an employee or officer of Automatum, or complete an employment verification, reference or immigration form in Automatum's name.</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Automatum does not set OBVG personnel's hours, supervise their manner of work, conduct their performance reviews or determine their compensation. OBVG supplies their equipment and working environment. Requests about an individual go to OBVG's relationship manager under clause 9.5, never to the individual.</w:t>
      </w:r>
    </w:p>
    <w:p>
      <w:pPr>
        <w:pStyle w:val="Heading2"/>
        <w:keepNext/>
        <w:spacing w:after="140" w:before="300"/>
      </w:pPr>
      <w:r>
        <w:rPr>
          <w:rFonts w:ascii="Calibri" w:cs="Calibri" w:eastAsia="Calibri" w:hAnsi="Calibri"/>
          <w:b/>
          <w:bCs/>
          <w:sz w:val="24"/>
          <w:szCs w:val="24"/>
        </w:rPr>
        <w:t xml:space="preserve">2. Communications</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All Client and partner contact routes through a single Automatum-branded intake channel stated in the Engagement Order, and OBVG triages and routes under Schedule 4 paragraph 6.</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OBVG will not initiate contact with a Registered Client outside that channel and the named personas, and will not contact a Registered Client about any matter between the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recorded per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CRM of record for client-facing activity is Automatum's, as stated in the Engagement Order. OBVG will not hold Registered Client contact records in its own systems except within that Client's PSR tenant.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sz w:val="22"/>
          <w:szCs w:val="22"/>
        </w:rPr>
        <w:t xml:space="preserve">All client-facing and partner-facing materials carry the Automatum Brand and no OBVG or PSR vendor branding, subject to clause 10.2. Automatum supplies brand guidelines and approves templates, and OBVG will not vary an approved template in a way affecting the Automatum Brand without approval. OBVG will not publish, present or reuse any material produced for a Registered Client outside that Engagement, subject to clause 16.1.</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24.3 applies. OBVG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request is received through the intake channel, or at the start of the next Business Hour if received outside Business Hours, and stops when the responsible Party delivers its output. Turnaround splits into two legs, because Automatum issues offers as seller of record and OBVG cannot control issuance.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
        <w:gridCol w:w="3076"/>
        <w:gridCol w:w="3404"/>
        <w:gridCol w:w="2487"/>
      </w:tblGrid>
      <w:tr>
        <w:trPr>
          <w:tblHeader/>
        </w:trPr>
        <w:tc>
          <w:tcPr>
            <w:tcW w:type="dxa" w:w="3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307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40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leg: Complete request to Issuance-Ready Package</w:t>
            </w:r>
          </w:p>
        </w:tc>
        <w:tc>
          <w:tcPr>
            <w:tcW w:type="dxa" w:w="24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to offer issued</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Tier 1 is satisfied if the offer is issued by close of the Business Day following the Business Day of receipt, permitting up to approximately 16 Business Hours elapsed; Tier 2 is a fixed 8 Business Hours from receipt. The two are defined separately because a Business Day and 8 Business Hours would otherwise be the same period. Clause 8.2 governs attribution between legs.</w:t>
      </w:r>
    </w:p>
    <w:p>
      <w:pPr>
        <w:pStyle w:val="Heading2"/>
        <w:keepNext/>
        <w:spacing w:after="140" w:before="300"/>
      </w:pPr>
      <w:r>
        <w:rPr>
          <w:rFonts w:ascii="Calibri" w:cs="Calibri" w:eastAsia="Calibri" w:hAnsi="Calibri"/>
          <w:b/>
          <w:bCs/>
          <w:sz w:val="24"/>
          <w:szCs w:val="24"/>
        </w:rPr>
        <w:t xml:space="preserve">2. Selling Authorizations</w:t>
      </w:r>
    </w:p>
    <w:p>
      <w:pPr>
        <w:spacing w:after="160" w:before="0" w:line="276"/>
        <w:jc w:val="both"/>
      </w:pPr>
      <w:r>
        <w:rPr>
          <w:rFonts w:ascii="Calibri" w:cs="Calibri" w:eastAsia="Calibri" w:hAnsi="Calibri"/>
          <w:sz w:val="22"/>
          <w:szCs w:val="22"/>
        </w:rPr>
        <w:t xml:space="preserve">At every Tier: OBVG leg, request to submission to Automatum, 2 Business Days; Automatum leg, submission to issuance, 2 Business Days.</w:t>
      </w:r>
    </w:p>
    <w:p>
      <w:pPr>
        <w:pStyle w:val="Heading2"/>
        <w:keepNext/>
        <w:spacing w:after="140" w:before="300"/>
      </w:pPr>
      <w:r>
        <w:rPr>
          <w:rFonts w:ascii="Calibri" w:cs="Calibri" w:eastAsia="Calibri" w:hAnsi="Calibri"/>
          <w:b/>
          <w:bCs/>
          <w:sz w:val="24"/>
          <w:szCs w:val="24"/>
        </w:rPr>
        <w:t xml:space="preserve">3. Cadence commitments</w:t>
      </w:r>
    </w:p>
    <w:p>
      <w:pPr>
        <w:spacing w:after="160" w:before="0" w:line="276"/>
        <w:jc w:val="both"/>
      </w:pPr>
      <w:r>
        <w:rPr>
          <w:rFonts w:ascii="Calibri" w:cs="Calibri" w:eastAsia="Calibri" w:hAnsi="Calibri"/>
          <w:sz w:val="22"/>
          <w:szCs w:val="22"/>
        </w:rPr>
        <w:t xml:space="preserve">Training and enablement sessions and Channel Reviews run at the Tier cadences in the Schedule 1 tier matrix, and the monthly reporting pack is due within 5 Business Days of month end at every Tier. A cadence commitment is met if the session or review is offered on at least two proposed dates within the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4. Metric dictionary</w:t>
      </w:r>
    </w:p>
    <w:p>
      <w:pPr>
        <w:spacing w:after="160" w:before="0" w:line="276"/>
        <w:jc w:val="both"/>
      </w:pPr>
      <w:r>
        <w:rPr>
          <w:rFonts w:ascii="Calibri" w:cs="Calibri" w:eastAsia="Calibri" w:hAnsi="Calibri"/>
          <w:b/>
          <w:bCs/>
          <w:sz w:val="22"/>
          <w:szCs w:val="22"/>
        </w:rPr>
        <w:t xml:space="preserve">4.1 Primary metric - Offer-Issuing Partners.</w:t>
      </w:r>
      <w:r>
        <w:rPr>
          <w:rFonts w:ascii="Calibri" w:cs="Calibri" w:eastAsia="Calibri" w:hAnsi="Calibri"/>
          <w:sz w:val="22"/>
          <w:szCs w:val="22"/>
        </w:rPr>
        <w:t xml:space="preserve"> The number of distinct Recruited Partners that created at least one private offer or CPPO against the Registered Client's product during the reporting month, read from the PSR offer record and reconciled against AWS Marketplace seller reporting. It applies only if the dependency in clause 14.2 is confirmed available by the longstop date in Schedule 8.</w:t>
      </w:r>
    </w:p>
    <w:p>
      <w:pPr>
        <w:spacing w:after="160" w:before="0" w:line="276"/>
        <w:jc w:val="both"/>
      </w:pPr>
      <w:r>
        <w:rPr>
          <w:rFonts w:ascii="Calibri" w:cs="Calibri" w:eastAsia="Calibri" w:hAnsi="Calibri"/>
          <w:b/>
          <w:bCs/>
          <w:sz w:val="22"/>
          <w:szCs w:val="22"/>
        </w:rPr>
        <w:t xml:space="preserve">4.2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It applies automatically under clause 14.2 if the dependency is not confirmed by the longstop date.</w:t>
      </w:r>
    </w:p>
    <w:p>
      <w:pPr>
        <w:spacing w:after="160" w:before="0" w:line="276"/>
        <w:jc w:val="both"/>
      </w:pPr>
      <w:r>
        <w:rPr>
          <w:rFonts w:ascii="Calibri" w:cs="Calibri" w:eastAsia="Calibri" w:hAnsi="Calibri"/>
          <w:b/>
          <w:bCs/>
          <w:sz w:val="22"/>
          <w:szCs w:val="22"/>
        </w:rPr>
        <w:t xml:space="preserve">4.3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5;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5.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88"/>
        <w:gridCol w:w="1232"/>
        <w:gridCol w:w="2340"/>
      </w:tblGrid>
      <w:tr>
        <w:trPr>
          <w:tblHeader/>
        </w:trPr>
        <w:tc>
          <w:tcPr>
            <w:tcW w:type="dxa" w:w="578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3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OBVG</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OBVG triages within 2 Business Hours and routes to the correct first line. A misrouted matter is handed over within 2 Business Hours of identification, and the receiving Party's clock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Credits</w:t>
      </w:r>
    </w:p>
    <w:p>
      <w:pPr>
        <w:spacing w:after="160" w:before="0" w:line="276"/>
        <w:jc w:val="both"/>
      </w:pPr>
      <w:r>
        <w:rPr>
          <w:rFonts w:ascii="Calibri" w:cs="Calibri" w:eastAsia="Calibri" w:hAnsi="Calibri"/>
          <w:sz w:val="22"/>
          <w:szCs w:val="22"/>
        </w:rPr>
        <w:t xml:space="preserve">Clause 8.4 governs flow-down, clause 8.5 the caps and clause 8.7 Chronic Failure. A Service Credit is measured against the Registered Client's gross monthly Client Fees, being the basis on which the Client Agreement computes it. There is no earn-back.</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6197"/>
      </w:tblGrid>
      <w:tr>
        <w:trPr>
          <w:tblHeader/>
        </w:trPr>
        <w:tc>
          <w:tcPr>
            <w:tcW w:type="dxa" w:w="316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9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OBVG's licence term and expiry</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licence term and expiry date]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threshold above which cost passes through under Schedule 1 paragraph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10.2]</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with logical separation]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10.1 warrants the licence term outlasts the longest Engagement Order plus the transition period. Licence cost sits within the OBVG Service Revenue, subject to Schedule 1 paragraph 3.</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For each Registered Client, under the Automatum Brand: a partner portal; onboarding workflow including AWS registration, tax, banking and service-linked role status tracking; deal registration, approval and decline workflow with audit history; commission tracking and accrual against the margin schedule; offer and Selling Authorization records, being the audit source for the metrics in Schedule 4 paragraph 4; synchronization with HubSpot and Salesforce as specified in the Engagement Order, which states whose instances, which is master, the direction, and who holds the licences, and where a Registered Client's instance is in scope the Client's cooperation is a dependency to which clause 6.7 applies; reporting supporting the monthly pack; and the append-only event log required by clause 10.5.</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10.5. Nature and purpose: partner onboarding, deal registration, commission tracking, offer tracking and reporting. Personal Data: business contact details, job titles and professional profile information of Recruited Partner and Registered Client personnel. Data subjects: personnel of Recruited Partners, Registered Clients and the Parties. No special category data.</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OBVG maintains a documented, versioned machine-readable export schema with a data dictionary covering partner records, partner agreements and status, deal registrations, the commission ledger and accruals, opportunity records and ACE identifiers, offer and Selling Authorization records, attribution configuration and outputs, and the event log. Clause 10.4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and a secure development lifecycle for any OBVG-built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10.7 is given by the PSR vendor in favour of Automatum and provides, in substance, that on OBVG's insolvency, cessation of business, or termination of this Agreement for OBVG's breach, the vendor will at Automatum's election and on its notice contract directly with Automatum or its nominee for the remainder of the affected Engagement Orders plus the transition period in clause 24.1; at the rates OBVG then pays or rates benchmarked to the vendor's then current list price for equivalent volume, whichever is lower; preserve each affected Registered Client's tenant and data intact and available without interruption; and not delete or withhold tenant data for at least 90 days after the triggering event.</w:t>
      </w:r>
    </w:p>
    <w:p>
      <w:pPr>
        <w:spacing w:after="160" w:before="0" w:line="276"/>
        <w:jc w:val="both"/>
      </w:pPr>
      <w:r>
        <w:rPr>
          <w:rFonts w:ascii="Calibri" w:cs="Calibri" w:eastAsia="Calibri" w:hAnsi="Calibri"/>
          <w:sz w:val="22"/>
          <w:szCs w:val="22"/>
        </w:rPr>
        <w:t xml:space="preserve">[to supply: executed vendor continuity undertaking, to be attached]</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41"/>
        <w:gridCol w:w="4519"/>
      </w:tblGrid>
      <w:tr>
        <w:trPr>
          <w:tblHeader/>
        </w:trPr>
        <w:tc>
          <w:tcPr>
            <w:tcW w:type="dxa" w:w="484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45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OBVG-Sourced / Automatum-Sourced / Joint or ACE-Sourced</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 and Engagement Year dates</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100% OBVG (Net New) / 75% OBVG, 25% Automatum (Existing)</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per month</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and Backup</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tenancy and partner record threshold</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and sync direction</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 and CRM of record</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and Issuance-Ready Package forms</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and Onboarding Throughput Rate (Tier 3)</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warranted? (Tier 3)</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under clause 2.2, if any</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60" w:before="0" w:line="276"/>
        <w:jc w:val="both"/>
      </w:pPr>
      <w:r>
        <w:rPr>
          <w:rFonts w:ascii="Calibri" w:cs="Calibri" w:eastAsia="Calibri" w:hAnsi="Calibri"/>
          <w:sz w:val="22"/>
          <w:szCs w:val="22"/>
        </w:rPr>
        <w:t xml:space="preserve">Signed for and on behalf of Automatum and OBVG.</w:t>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4"/>
        <w:gridCol w:w="520"/>
        <w:gridCol w:w="2674"/>
        <w:gridCol w:w="4532"/>
      </w:tblGrid>
      <w:tr>
        <w:trPr>
          <w:tblHeader/>
        </w:trPr>
        <w:tc>
          <w:tcPr>
            <w:tcW w:type="dxa" w:w="16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267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45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coverage window, stated in the Engagement Order]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Tier 1 counts 1, Tier 2 counts 2, Tier 3 counts 4. A Channel Manager may hold at most 12 weighted points and at most 4 Tier 3 Engagements, whichever binds first. Clause 9.7 makes exceeding a ratio an independent breach.</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26.1</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Open Items</w:t>
      </w:r>
    </w:p>
    <w:p>
      <w:pPr>
        <w:pStyle w:val="Heading2"/>
        <w:keepNext/>
        <w:spacing w:after="140" w:before="300"/>
      </w:pPr>
      <w:r>
        <w:rPr>
          <w:rFonts w:ascii="Calibri" w:cs="Calibri" w:eastAsia="Calibri" w:hAnsi="Calibri"/>
          <w:b/>
          <w:bCs/>
          <w:sz w:val="24"/>
          <w:szCs w:val="24"/>
        </w:rPr>
        <w:t xml:space="preserve">1. How to read this Schedule</w:t>
      </w:r>
    </w:p>
    <w:p>
      <w:pPr>
        <w:spacing w:after="160" w:before="0" w:line="276"/>
        <w:jc w:val="both"/>
      </w:pPr>
      <w:r>
        <w:rPr>
          <w:rFonts w:ascii="Calibri" w:cs="Calibri" w:eastAsia="Calibri" w:hAnsi="Calibri"/>
          <w:b/>
          <w:bCs/>
          <w:sz w:val="22"/>
          <w:szCs w:val="22"/>
        </w:rPr>
        <w:t xml:space="preserve">to supply</w:t>
      </w:r>
      <w:r>
        <w:rPr>
          <w:rFonts w:ascii="Calibri" w:cs="Calibri" w:eastAsia="Calibri" w:hAnsi="Calibri"/>
          <w:sz w:val="22"/>
          <w:szCs w:val="22"/>
        </w:rPr>
        <w:t xml:space="preserve"> is a fact awaiting transcription. </w:t>
      </w:r>
      <w:r>
        <w:rPr>
          <w:rFonts w:ascii="Calibri" w:cs="Calibri" w:eastAsia="Calibri" w:hAnsi="Calibri"/>
          <w:b/>
          <w:bCs/>
          <w:sz w:val="22"/>
          <w:szCs w:val="22"/>
        </w:rPr>
        <w:t xml:space="preserve">to confirm</w:t>
      </w:r>
      <w:r>
        <w:rPr>
          <w:rFonts w:ascii="Calibri" w:cs="Calibri" w:eastAsia="Calibri" w:hAnsi="Calibri"/>
          <w:sz w:val="22"/>
          <w:szCs w:val="22"/>
        </w:rPr>
        <w:t xml:space="preserve"> is a commercial figure needing a decision or test; each one inside an operative obligation takes the default in paragraph 5 if this Agreement is executed first. </w:t>
      </w:r>
      <w:r>
        <w:rPr>
          <w:rFonts w:ascii="Calibri" w:cs="Calibri" w:eastAsia="Calibri" w:hAnsi="Calibri"/>
          <w:b/>
          <w:bCs/>
          <w:sz w:val="22"/>
          <w:szCs w:val="22"/>
        </w:rPr>
        <w:t xml:space="preserve">to verify</w:t>
      </w:r>
      <w:r>
        <w:rPr>
          <w:rFonts w:ascii="Calibri" w:cs="Calibri" w:eastAsia="Calibri" w:hAnsi="Calibri"/>
          <w:sz w:val="22"/>
          <w:szCs w:val="22"/>
        </w:rPr>
        <w:t xml:space="preserve"> is an external dependency, resolved by clause 14 and never by assumption. This register must read nil before execution.</w:t>
      </w:r>
    </w:p>
    <w:p>
      <w:pPr>
        <w:pStyle w:val="Heading2"/>
        <w:keepNext/>
        <w:spacing w:after="140" w:before="300"/>
      </w:pPr>
      <w:r>
        <w:rPr>
          <w:rFonts w:ascii="Calibri" w:cs="Calibri" w:eastAsia="Calibri" w:hAnsi="Calibri"/>
          <w:b/>
          <w:bCs/>
          <w:sz w:val="24"/>
          <w:szCs w:val="24"/>
        </w:rPr>
        <w:t xml:space="preserve">2. Dependencies to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219"/>
        <w:gridCol w:w="2779"/>
        <w:gridCol w:w="3071"/>
      </w:tblGrid>
      <w:tr>
        <w:trPr>
          <w:tblHeader/>
        </w:trPr>
        <w:tc>
          <w:tcPr>
            <w:tcW w:type="dxa" w:w="32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7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0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verified</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third-party reseller can issue offers against Automatum's listing while Automatum is seller of record</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longstop date, the earlier of 45 days from the Effective Date and first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4.2 applies automatically under clause 14.2. Neither Party is in breach or liable.</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10.7</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Schedule 4 and the Tier 3 roster</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table published and no Engagement Order executed at an untested Tier. Clause 14.4.</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3. Assumptions</w:t>
      </w:r>
    </w:p>
    <w:p>
      <w:pPr>
        <w:spacing w:after="160" w:before="0" w:line="276"/>
        <w:jc w:val="both"/>
      </w:pPr>
      <w:r>
        <w:rPr>
          <w:rFonts w:ascii="Calibri" w:cs="Calibri" w:eastAsia="Calibri" w:hAnsi="Calibri"/>
          <w:b/>
          <w:bCs/>
          <w:sz w:val="22"/>
          <w:szCs w:val="22"/>
        </w:rPr>
        <w:t xml:space="preserve">3.1 Engagement fees are invoiced directly.</w:t>
      </w:r>
      <w:r>
        <w:rPr>
          <w:rFonts w:ascii="Calibri" w:cs="Calibri" w:eastAsia="Calibri" w:hAnsi="Calibri"/>
          <w:sz w:val="22"/>
          <w:szCs w:val="22"/>
        </w:rPr>
        <w:t xml:space="preserve"> Schedule 2 assumes engagement fees are invoiced by Automatum to the Client directly, not transacted through AWS Marketplace, so no listing fee reduces them. The figures require it: at Tier 1, $9,999 and $20,001 sum to exactly $30,000, leaving no room for a listing fee. If engagement fees are later transacted through Marketplace, a listing fee of approximately 3% would be $900, $1,800 and $2,700 per Engagement Year at Tiers 1 to 3, and its allocation must be agreed under clause 11.9.</w:t>
      </w:r>
    </w:p>
    <w:p>
      <w:pPr>
        <w:spacing w:after="160" w:before="0" w:line="276"/>
        <w:jc w:val="both"/>
      </w:pPr>
      <w:r>
        <w:rPr>
          <w:rFonts w:ascii="Calibri" w:cs="Calibri" w:eastAsia="Calibri" w:hAnsi="Calibri"/>
          <w:b/>
          <w:bCs/>
          <w:sz w:val="22"/>
          <w:szCs w:val="22"/>
        </w:rPr>
        <w:t xml:space="preserve">3.2 Automatum's Enterprise tier commitment.</w:t>
      </w:r>
      <w:r>
        <w:rPr>
          <w:rFonts w:ascii="Calibri" w:cs="Calibri" w:eastAsia="Calibri" w:hAnsi="Calibri"/>
          <w:sz w:val="22"/>
          <w:szCs w:val="22"/>
        </w:rPr>
        <w:t xml:space="preserve"> Automatum's $9,999 is assumed to be committed annually. Under the pro rata accrual in clause 11.2, an Engagement terminating at the end of Engagement Month 3 recovers only $2,499.75 of it. </w:t>
      </w:r>
      <w:r>
        <w:rPr>
          <w:rFonts w:ascii="Calibri" w:cs="Calibri" w:eastAsia="Calibri" w:hAnsi="Calibri"/>
          <w:b/>
          <w:bCs/>
          <w:sz w:val="22"/>
          <w:szCs w:val="22"/>
        </w:rPr>
        <w:t xml:space="preserve">Open commercial item: whether the Client Agreement carries a minimum term with an early termination charge, whether Automatum's Enterprise tier is monthly cancellable, or whether Automatum accepts early churn as its own loss.</w:t>
      </w:r>
      <w:r>
        <w:rPr>
          <w:rFonts w:ascii="Calibri" w:cs="Calibri" w:eastAsia="Calibri" w:hAnsi="Calibri"/>
          <w:sz w:val="22"/>
          <w:szCs w:val="22"/>
        </w:rPr>
        <w:t xml:space="preserve"> Default if not closed: Automatum bears the shortfall.</w:t>
      </w:r>
    </w:p>
    <w:p>
      <w:pPr>
        <w:spacing w:after="160" w:before="0" w:line="276"/>
        <w:jc w:val="both"/>
      </w:pPr>
      <w:r>
        <w:rPr>
          <w:rFonts w:ascii="Calibri" w:cs="Calibri" w:eastAsia="Calibri" w:hAnsi="Calibri"/>
          <w:b/>
          <w:bCs/>
          <w:sz w:val="22"/>
          <w:szCs w:val="22"/>
        </w:rPr>
        <w:t xml:space="preserve">3.3 Cost to serve.</w:t>
      </w:r>
      <w:r>
        <w:rPr>
          <w:rFonts w:ascii="Calibri" w:cs="Calibri" w:eastAsia="Calibri" w:hAnsi="Calibri"/>
          <w:sz w:val="22"/>
          <w:szCs w:val="22"/>
        </w:rPr>
        <w:t xml:space="preserve"> Neither Party warrants that the Client Fees at any Tier are sufficient to cover its own cost of performance, and clause 14.1 applies if they are not.</w:t>
      </w:r>
    </w:p>
    <w:p>
      <w:pPr>
        <w:spacing w:after="160" w:before="0" w:line="276"/>
        <w:jc w:val="both"/>
      </w:pPr>
      <w:r>
        <w:rPr>
          <w:rFonts w:ascii="Calibri" w:cs="Calibri" w:eastAsia="Calibri" w:hAnsi="Calibri"/>
          <w:b/>
          <w:bCs/>
          <w:sz w:val="22"/>
          <w:szCs w:val="22"/>
        </w:rPr>
        <w:t xml:space="preserve">3.4 Partner AWS prerequisites.</w:t>
      </w:r>
      <w:r>
        <w:rPr>
          <w:rFonts w:ascii="Calibri" w:cs="Calibri" w:eastAsia="Calibri" w:hAnsi="Calibri"/>
          <w:sz w:val="22"/>
          <w:szCs w:val="22"/>
        </w:rPr>
        <w:t xml:space="preserve"> Recruited Partner timelines depend on the partner completing AWS registration, tax, banking and service-linked role requirements, outside the control of either Party and the Registered Client. Clause 8.3 and Schedule 1 paragraph 4 govern.</w:t>
      </w:r>
    </w:p>
    <w:p>
      <w:pPr>
        <w:pStyle w:val="Heading2"/>
        <w:keepNext/>
        <w:spacing w:after="140" w:before="300"/>
      </w:pPr>
      <w:r>
        <w:rPr>
          <w:rFonts w:ascii="Calibri" w:cs="Calibri" w:eastAsia="Calibri" w:hAnsi="Calibri"/>
          <w:b/>
          <w:bCs/>
          <w:sz w:val="24"/>
          <w:szCs w:val="24"/>
        </w:rPr>
        <w:t xml:space="preserve">4. Facts to supply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26"/>
        <w:gridCol w:w="834"/>
      </w:tblGrid>
      <w:tr>
        <w:trPr>
          <w:tblHeader/>
        </w:trPr>
        <w:tc>
          <w:tcPr>
            <w:tcW w:type="dxa" w:w="85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8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Both Parties' legal entity names, entity types, states of organization, registration numbers</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Principal and notice addresses, including the address for legal notices under clause 26.4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Signatory names and titles, and the Effective Date</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Backup and Tier 3 Deal Desk Owner per Engagement</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Relationship managers and escalation executives (Schedule 7 paragraph 3)</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details and certifications (Schedule 5 Part A)</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Subprocessor list (Schedule 5 Part C paragraph 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Rate card day rates (Schedule 2 paragraph 6)</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limits for each required cover</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APN account under which OBVG files partner-sourced opportunities under clause 5.1(j)</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solution identifier under clause 13.4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Longstop date for the dependency in paragraph 2</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1"/>
        <w:gridCol w:w="6189"/>
      </w:tblGrid>
      <w:tr>
        <w:trPr>
          <w:tblHeader/>
        </w:trPr>
        <w:tc>
          <w:tcPr>
            <w:tcW w:type="dxa" w:w="31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8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Default if not confirmed at execution</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the Client's nominated administrators and every Recruited Partner on the roster</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Named-owner committed hours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4 onboardings per month and 6 concurrent</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30 active partners and 4 onboardings per month</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OBVG's licence, failing which no pass-through applies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warranty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so the pass-through in Schedule 1 paragraph 3 applies</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Venture Group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headerReference w:type="default" r:id="rId7"/>
      <w:footerReference w:type="default" r:id="rId8"/>
      <w:pgSz w:w="12240" w:h="15840" w:orient="portrait"/>
      <w:pgMar w:top="1700" w:right="1440" w:bottom="1440" w:left="1440" w:header="6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spacing w:after="80"/>
      <w:jc w:val="left"/>
    </w:pPr>
    <w:r>
      <w:drawing>
        <wp:inline distT="0" distB="0" distL="0" distR="0">
          <wp:extent cx="5905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0550" cy="400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be395edf862900d67762237981df29cfd736e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Venture Group white label delivery agreement</dc:description>
  <cp:lastModifiedBy>Un-named</cp:lastModifiedBy>
  <cp:revision>1</cp:revision>
  <dcterms:created xsi:type="dcterms:W3CDTF">2026-09-21T00:44:42.796Z</dcterms:created>
  <dcterms:modified xsi:type="dcterms:W3CDTF">2026-09-21T00:44:42.796Z</dcterms:modified>
</cp:coreProperties>
</file>

<file path=docProps/custom.xml><?xml version="1.0" encoding="utf-8"?>
<Properties xmlns="http://schemas.openxmlformats.org/officeDocument/2006/custom-properties" xmlns:vt="http://schemas.openxmlformats.org/officeDocument/2006/docPropsVTypes"/>
</file>