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jc w:val="center"/>
      </w:pPr>
      <w:r>
        <w:rPr>
          <w:rFonts w:ascii="Calibri" w:cs="Calibri" w:eastAsia="Calibri" w:hAnsi="Calibri"/>
          <w:b/>
          <w:bCs/>
          <w:sz w:val="32"/>
          <w:szCs w:val="32"/>
        </w:rPr>
        <w:t xml:space="preserve">White Label Delivery Agreement</w:t>
      </w:r>
    </w:p>
    <w:p>
      <w:pPr>
        <w:spacing w:after="160" w:before="0" w:line="276"/>
        <w:jc w:val="both"/>
      </w:pPr>
      <w:r>
        <w:rPr>
          <w:rFonts w:ascii="Calibri" w:cs="Calibri" w:eastAsia="Calibri" w:hAnsi="Calibri"/>
          <w:b/>
          <w:bCs/>
          <w:sz w:val="22"/>
          <w:szCs w:val="22"/>
        </w:rPr>
        <w:t xml:space="preserve">Managed Partner Development</w:t>
      </w:r>
    </w:p>
    <w:p>
      <w:pPr>
        <w:spacing w:after="160" w:before="0" w:line="276"/>
        <w:jc w:val="both"/>
      </w:pPr>
      <w:r>
        <w:rPr>
          <w:rFonts w:ascii="Calibri" w:cs="Calibri" w:eastAsia="Calibri" w:hAnsi="Calibri"/>
          <w:sz w:val="22"/>
          <w:szCs w:val="22"/>
        </w:rPr>
        <w:t xml:space="preserve">This White Label Delivery Agreement (this "Agreement") is entered into as of [to supply: Effective Date] (the "Effective Date") by and between:</w:t>
      </w:r>
    </w:p>
    <w:p>
      <w:pPr>
        <w:spacing w:after="160" w:before="0" w:line="276"/>
        <w:jc w:val="both"/>
      </w:pPr>
      <w:r>
        <w:rPr>
          <w:rFonts w:ascii="Calibri" w:cs="Calibri" w:eastAsia="Calibri" w:hAnsi="Calibri"/>
          <w:b/>
          <w:bCs/>
          <w:sz w:val="22"/>
          <w:szCs w:val="22"/>
        </w:rPr>
        <w:t xml:space="preserve">[to supply: Automatum legal entity name]</w:t>
      </w:r>
      <w:r>
        <w:rPr>
          <w:rFonts w:ascii="Calibri" w:cs="Calibri" w:eastAsia="Calibri" w:hAnsi="Calibri"/>
          <w:sz w:val="22"/>
          <w:szCs w:val="22"/>
        </w:rPr>
        <w:t xml:space="preserve">, a [to supply: entity type] organized under the laws of [to supply: state of organization], with company number [to supply: registration number] and principal place of business at [to supply: Automatum principal address] ("</w:t>
      </w:r>
      <w:r>
        <w:rPr>
          <w:rFonts w:ascii="Calibri" w:cs="Calibri" w:eastAsia="Calibri" w:hAnsi="Calibri"/>
          <w:b/>
          <w:bCs/>
          <w:sz w:val="22"/>
          <w:szCs w:val="22"/>
        </w:rPr>
        <w:t xml:space="preserve">Automatum</w:t>
      </w:r>
      <w:r>
        <w:rPr>
          <w:rFonts w:ascii="Calibri" w:cs="Calibri" w:eastAsia="Calibri" w:hAnsi="Calibri"/>
          <w:sz w:val="22"/>
          <w:szCs w:val="22"/>
        </w:rPr>
        <w:t xml:space="preserve">"); and</w:t>
      </w:r>
    </w:p>
    <w:p>
      <w:pPr>
        <w:spacing w:after="160" w:before="0" w:line="276"/>
        <w:jc w:val="both"/>
      </w:pPr>
      <w:r>
        <w:rPr>
          <w:rFonts w:ascii="Calibri" w:cs="Calibri" w:eastAsia="Calibri" w:hAnsi="Calibri"/>
          <w:b/>
          <w:bCs/>
          <w:sz w:val="22"/>
          <w:szCs w:val="22"/>
        </w:rPr>
        <w:t xml:space="preserve">[to supply: Only Best Practices legal entity name]</w:t>
      </w:r>
      <w:r>
        <w:rPr>
          <w:rFonts w:ascii="Calibri" w:cs="Calibri" w:eastAsia="Calibri" w:hAnsi="Calibri"/>
          <w:sz w:val="22"/>
          <w:szCs w:val="22"/>
        </w:rPr>
        <w:t xml:space="preserve">, a [to supply: entity type] organized under the laws of [to supply: state of organization], with company number [to supply: registration number] and principal place of business at [to supply: OBP principal address] ("</w:t>
      </w:r>
      <w:r>
        <w:rPr>
          <w:rFonts w:ascii="Calibri" w:cs="Calibri" w:eastAsia="Calibri" w:hAnsi="Calibri"/>
          <w:b/>
          <w:bCs/>
          <w:sz w:val="22"/>
          <w:szCs w:val="22"/>
        </w:rPr>
        <w:t xml:space="preserve">OBP</w:t>
      </w:r>
      <w:r>
        <w:rPr>
          <w:rFonts w:ascii="Calibri" w:cs="Calibri" w:eastAsia="Calibri" w:hAnsi="Calibri"/>
          <w:sz w:val="22"/>
          <w:szCs w:val="22"/>
        </w:rPr>
        <w:t xml:space="preserve">").</w:t>
      </w:r>
    </w:p>
    <w:p>
      <w:pPr>
        <w:spacing w:after="160" w:before="0" w:line="276"/>
        <w:jc w:val="both"/>
      </w:pPr>
      <w:r>
        <w:rPr>
          <w:rFonts w:ascii="Calibri" w:cs="Calibri" w:eastAsia="Calibri" w:hAnsi="Calibri"/>
          <w:sz w:val="22"/>
          <w:szCs w:val="22"/>
        </w:rPr>
        <w:t xml:space="preserve">Automatum and OBP are each a "Party" and together the "Parties".</w:t>
      </w:r>
    </w:p>
    <w:p>
      <w:pPr>
        <w:pStyle w:val="Heading2"/>
        <w:keepNext/>
        <w:spacing w:after="140" w:before="300"/>
      </w:pPr>
      <w:r>
        <w:rPr>
          <w:rFonts w:ascii="Calibri" w:cs="Calibri" w:eastAsia="Calibri" w:hAnsi="Calibri"/>
          <w:b/>
          <w:bCs/>
          <w:sz w:val="24"/>
          <w:szCs w:val="24"/>
        </w:rPr>
        <w:t xml:space="preserve">Recitals</w:t>
      </w:r>
    </w:p>
    <w:p>
      <w:pPr>
        <w:spacing w:after="160" w:before="0" w:line="276"/>
        <w:jc w:val="both"/>
      </w:pPr>
      <w:r>
        <w:rPr>
          <w:rFonts w:ascii="Calibri" w:cs="Calibri" w:eastAsia="Calibri" w:hAnsi="Calibri"/>
          <w:b/>
          <w:bCs/>
          <w:sz w:val="22"/>
          <w:szCs w:val="22"/>
        </w:rPr>
        <w:t xml:space="preserve">A.</w:t>
      </w:r>
      <w:r>
        <w:rPr>
          <w:rFonts w:ascii="Calibri" w:cs="Calibri" w:eastAsia="Calibri" w:hAnsi="Calibri"/>
          <w:sz w:val="22"/>
          <w:szCs w:val="22"/>
        </w:rPr>
        <w:t xml:space="preserve"> Automatum publishes software through AWS Marketplace, holds the seller of record position for its listing, and issues private offers and Selling Authorizations under that listing.</w:t>
      </w:r>
    </w:p>
    <w:p>
      <w:pPr>
        <w:spacing w:after="160" w:before="0" w:line="276"/>
        <w:jc w:val="both"/>
      </w:pPr>
      <w:r>
        <w:rPr>
          <w:rFonts w:ascii="Calibri" w:cs="Calibri" w:eastAsia="Calibri" w:hAnsi="Calibri"/>
          <w:b/>
          <w:bCs/>
          <w:sz w:val="22"/>
          <w:szCs w:val="22"/>
        </w:rPr>
        <w:t xml:space="preserve">B.</w:t>
      </w:r>
      <w:r>
        <w:rPr>
          <w:rFonts w:ascii="Calibri" w:cs="Calibri" w:eastAsia="Calibri" w:hAnsi="Calibri"/>
          <w:sz w:val="22"/>
          <w:szCs w:val="22"/>
        </w:rPr>
        <w:t xml:space="preserve"> OBP operates a managed channel function comprising reseller recruitment, partner contracting, enablement and training, a Channel Partner Private Offer deal desk, and channel governance, and licenses and operates a partner system of record supporting partner onboarding, deal registration and commission tracking.</w:t>
      </w:r>
    </w:p>
    <w:p>
      <w:pPr>
        <w:spacing w:after="160" w:before="0" w:line="276"/>
        <w:jc w:val="both"/>
      </w:pPr>
      <w:r>
        <w:rPr>
          <w:rFonts w:ascii="Calibri" w:cs="Calibri" w:eastAsia="Calibri" w:hAnsi="Calibri"/>
          <w:b/>
          <w:bCs/>
          <w:sz w:val="22"/>
          <w:szCs w:val="22"/>
        </w:rPr>
        <w:t xml:space="preserve">C.</w:t>
      </w:r>
      <w:r>
        <w:rPr>
          <w:rFonts w:ascii="Calibri" w:cs="Calibri" w:eastAsia="Calibri" w:hAnsi="Calibri"/>
          <w:sz w:val="22"/>
          <w:szCs w:val="22"/>
        </w:rPr>
        <w:t xml:space="preserve"> The Parties have jointly developed a solution called Managed Partner Development, under which an independent software vendor with a live AWS Marketplace listing engages a single provider to build and run its reseller channel on AWS. The solution is the subject of a feasibility study submitted to the AWS Business Outcomes Xcelerator program.</w:t>
      </w:r>
    </w:p>
    <w:p>
      <w:pPr>
        <w:spacing w:after="160" w:before="0" w:line="276"/>
        <w:jc w:val="both"/>
      </w:pPr>
      <w:r>
        <w:rPr>
          <w:rFonts w:ascii="Calibri" w:cs="Calibri" w:eastAsia="Calibri" w:hAnsi="Calibri"/>
          <w:b/>
          <w:bCs/>
          <w:sz w:val="22"/>
          <w:szCs w:val="22"/>
        </w:rPr>
        <w:t xml:space="preserve">D.</w:t>
      </w:r>
      <w:r>
        <w:rPr>
          <w:rFonts w:ascii="Calibri" w:cs="Calibri" w:eastAsia="Calibri" w:hAnsi="Calibri"/>
          <w:sz w:val="22"/>
          <w:szCs w:val="22"/>
        </w:rPr>
        <w:t xml:space="preserve"> The Parties intend that Automatum contracts with, invoices and faces each client, and that OBP performs the channel function as a subcontractor to Automatum under Automatum's brand, such that OBP is not presented to the client as a separate provider.</w:t>
      </w:r>
    </w:p>
    <w:p>
      <w:pPr>
        <w:spacing w:after="160" w:before="0" w:line="276"/>
        <w:jc w:val="both"/>
      </w:pPr>
      <w:r>
        <w:rPr>
          <w:rFonts w:ascii="Calibri" w:cs="Calibri" w:eastAsia="Calibri" w:hAnsi="Calibri"/>
          <w:b/>
          <w:bCs/>
          <w:sz w:val="22"/>
          <w:szCs w:val="22"/>
        </w:rPr>
        <w:t xml:space="preserve">E.</w:t>
      </w:r>
      <w:r>
        <w:rPr>
          <w:rFonts w:ascii="Calibri" w:cs="Calibri" w:eastAsia="Calibri" w:hAnsi="Calibri"/>
          <w:sz w:val="22"/>
          <w:szCs w:val="22"/>
        </w:rPr>
        <w:t xml:space="preserve"> The Parties intend this arrangement to be non-exclusive, and each Party remains free to pursue comparable arrangements with third parties, subject to the restrictions set out in this Agreement.</w:t>
      </w:r>
    </w:p>
    <w:p>
      <w:pPr>
        <w:spacing w:after="160" w:before="0" w:line="276"/>
        <w:jc w:val="both"/>
      </w:pPr>
      <w:r>
        <w:rPr>
          <w:rFonts w:ascii="Calibri" w:cs="Calibri" w:eastAsia="Calibri" w:hAnsi="Calibri"/>
          <w:sz w:val="22"/>
          <w:szCs w:val="22"/>
        </w:rPr>
        <w:t xml:space="preserve">The Parties therefore agree as follows.</w:t>
      </w:r>
    </w:p>
    <w:p>
      <w:pPr>
        <w:pStyle w:val="Heading2"/>
        <w:keepNext/>
        <w:spacing w:after="140" w:before="300"/>
      </w:pPr>
      <w:r>
        <w:rPr>
          <w:rFonts w:ascii="Calibri" w:cs="Calibri" w:eastAsia="Calibri" w:hAnsi="Calibri"/>
          <w:b/>
          <w:bCs/>
          <w:sz w:val="24"/>
          <w:szCs w:val="24"/>
        </w:rPr>
        <w:t xml:space="preserve">1. Definitions and Interpretation</w:t>
      </w:r>
    </w:p>
    <w:p>
      <w:pPr>
        <w:pStyle w:val="Heading3"/>
        <w:keepNext/>
        <w:spacing w:after="120" w:before="220"/>
      </w:pPr>
      <w:r>
        <w:rPr>
          <w:rFonts w:ascii="Calibri" w:cs="Calibri" w:eastAsia="Calibri" w:hAnsi="Calibri"/>
          <w:b/>
          <w:bCs/>
          <w:sz w:val="22"/>
          <w:szCs w:val="22"/>
        </w:rPr>
        <w:t xml:space="preserve">1.1 Definitions</w:t>
      </w:r>
    </w:p>
    <w:p>
      <w:pPr>
        <w:spacing w:after="160" w:before="0" w:line="276"/>
        <w:jc w:val="both"/>
      </w:pPr>
      <w:r>
        <w:rPr>
          <w:rFonts w:ascii="Calibri" w:cs="Calibri" w:eastAsia="Calibri" w:hAnsi="Calibri"/>
          <w:sz w:val="22"/>
          <w:szCs w:val="22"/>
        </w:rPr>
        <w:t xml:space="preserve">In this Agreement, the following capitalized terms have the meanings given below.</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Active Partner</w:t>
      </w:r>
      <w:r>
        <w:rPr>
          <w:rFonts w:ascii="Calibri" w:cs="Calibri" w:eastAsia="Calibri" w:hAnsi="Calibri"/>
          <w:sz w:val="22"/>
          <w:szCs w:val="22"/>
        </w:rPr>
        <w:t xml:space="preserve">" means a Recruited Partner that has completed at least one Transaction within the preceding three hundred sixty five (365) days. A Recruited Partner that has not done so is not an Active Partner regardless of its onboarding status.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AWS</w:t>
      </w:r>
      <w:r>
        <w:rPr>
          <w:rFonts w:ascii="Calibri" w:cs="Calibri" w:eastAsia="Calibri" w:hAnsi="Calibri"/>
          <w:sz w:val="22"/>
          <w:szCs w:val="22"/>
        </w:rPr>
        <w:t xml:space="preserve">" means Amazon Web Services, Inc. and its affiliates.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AWS Marketplace</w:t>
      </w:r>
      <w:r>
        <w:rPr>
          <w:rFonts w:ascii="Calibri" w:cs="Calibri" w:eastAsia="Calibri" w:hAnsi="Calibri"/>
          <w:sz w:val="22"/>
          <w:szCs w:val="22"/>
        </w:rPr>
        <w:t xml:space="preserve">" means the AWS Marketplace digital catalog operated by AWS.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AWS Program Terms</w:t>
      </w:r>
      <w:r>
        <w:rPr>
          <w:rFonts w:ascii="Calibri" w:cs="Calibri" w:eastAsia="Calibri" w:hAnsi="Calibri"/>
          <w:sz w:val="22"/>
          <w:szCs w:val="22"/>
        </w:rPr>
        <w:t xml:space="preserve">" means the AWS Partner Network terms, the AWS Marketplace Seller Terms and Conditions, the AWS Customer Agreement, the ACE program terms, and any other AWS terms, policies or program rules applicable to a Party's participation in the AWS ecosystem, in each case as amended by AWS from time to time.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ACE</w:t>
      </w:r>
      <w:r>
        <w:rPr>
          <w:rFonts w:ascii="Calibri" w:cs="Calibri" w:eastAsia="Calibri" w:hAnsi="Calibri"/>
          <w:sz w:val="22"/>
          <w:szCs w:val="22"/>
        </w:rPr>
        <w:t xml:space="preserve">" means the AWS Partner Central APN Customer Engagements program.</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Automatum Brand</w:t>
      </w:r>
      <w:r>
        <w:rPr>
          <w:rFonts w:ascii="Calibri" w:cs="Calibri" w:eastAsia="Calibri" w:hAnsi="Calibri"/>
          <w:sz w:val="22"/>
          <w:szCs w:val="22"/>
        </w:rPr>
        <w:t xml:space="preserve">" means the Automatum name, logos, trademarks, service marks, domain names, email domains, templates, document styles and other brand assets that Automatum makes available to OBP for use in delivering the Services.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Automatum Retention</w:t>
      </w:r>
      <w:r>
        <w:rPr>
          <w:rFonts w:ascii="Calibri" w:cs="Calibri" w:eastAsia="Calibri" w:hAnsi="Calibri"/>
          <w:sz w:val="22"/>
          <w:szCs w:val="22"/>
        </w:rPr>
        <w:t xml:space="preserve">" has the meaning given in clause 11.2.</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Business Day</w:t>
      </w:r>
      <w:r>
        <w:rPr>
          <w:rFonts w:ascii="Calibri" w:cs="Calibri" w:eastAsia="Calibri" w:hAnsi="Calibri"/>
          <w:sz w:val="22"/>
          <w:szCs w:val="22"/>
        </w:rPr>
        <w:t xml:space="preserve">" means a day other than a Saturday, Sunday or public holiday in the State of New York.</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Business Hours</w:t>
      </w:r>
      <w:r>
        <w:rPr>
          <w:rFonts w:ascii="Calibri" w:cs="Calibri" w:eastAsia="Calibri" w:hAnsi="Calibri"/>
          <w:sz w:val="22"/>
          <w:szCs w:val="22"/>
        </w:rPr>
        <w:t xml:space="preserve">" means 9:00 a.m. to 6:00 p.m. Eastern Time on a Business Day, unless a different coverage window is stated in an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Channel Review</w:t>
      </w:r>
      <w:r>
        <w:rPr>
          <w:rFonts w:ascii="Calibri" w:cs="Calibri" w:eastAsia="Calibri" w:hAnsi="Calibri"/>
          <w:sz w:val="22"/>
          <w:szCs w:val="22"/>
        </w:rPr>
        <w:t xml:space="preserve">" means a scheduled governance session with a Registered Client covering partner pipeline, partner performance, Offer-Issuing Partner count and remediation actions, delivered at the cadence for the applicable Tier set out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w:t>
      </w:r>
      <w:r>
        <w:rPr>
          <w:rFonts w:ascii="Calibri" w:cs="Calibri" w:eastAsia="Calibri" w:hAnsi="Calibri"/>
          <w:sz w:val="22"/>
          <w:szCs w:val="22"/>
        </w:rPr>
        <w:t xml:space="preserve">" means an independent software vendor or other software provider that contracts with Automatum for the Solution.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Agreement</w:t>
      </w:r>
      <w:r>
        <w:rPr>
          <w:rFonts w:ascii="Calibri" w:cs="Calibri" w:eastAsia="Calibri" w:hAnsi="Calibri"/>
          <w:sz w:val="22"/>
          <w:szCs w:val="22"/>
        </w:rPr>
        <w:t xml:space="preserve">" means the agreement between Automatum and a Client under which Automatum supplies the Solution to that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Data</w:t>
      </w:r>
      <w:r>
        <w:rPr>
          <w:rFonts w:ascii="Calibri" w:cs="Calibri" w:eastAsia="Calibri" w:hAnsi="Calibri"/>
          <w:sz w:val="22"/>
          <w:szCs w:val="22"/>
        </w:rPr>
        <w:t xml:space="preserve">" means all data relating to a Registered Client, its Recruited Partners and its channel that is created, collected, processed or stored in the course of delivering the Services, including partner records, deal registrations, commission records, offer records and reporting outputs.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Fees</w:t>
      </w:r>
      <w:r>
        <w:rPr>
          <w:rFonts w:ascii="Calibri" w:cs="Calibri" w:eastAsia="Calibri" w:hAnsi="Calibri"/>
          <w:sz w:val="22"/>
          <w:szCs w:val="22"/>
        </w:rPr>
        <w:t xml:space="preserve">" means the fees payable by a Registered Client to Automatum under its Client Agreement for the Solution, excluding Taxes and any fees for services outside the Solution.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Registry</w:t>
      </w:r>
      <w:r>
        <w:rPr>
          <w:rFonts w:ascii="Calibri" w:cs="Calibri" w:eastAsia="Calibri" w:hAnsi="Calibri"/>
          <w:sz w:val="22"/>
          <w:szCs w:val="22"/>
        </w:rPr>
        <w:t xml:space="preserve">" means the register of Registered Clients maintained under clause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Confidential Information</w:t>
      </w:r>
      <w:r>
        <w:rPr>
          <w:rFonts w:ascii="Calibri" w:cs="Calibri" w:eastAsia="Calibri" w:hAnsi="Calibri"/>
          <w:sz w:val="22"/>
          <w:szCs w:val="22"/>
        </w:rPr>
        <w:t xml:space="preserve">" has the meaning given in clause 17.1.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CPPO</w:t>
      </w:r>
      <w:r>
        <w:rPr>
          <w:rFonts w:ascii="Calibri" w:cs="Calibri" w:eastAsia="Calibri" w:hAnsi="Calibri"/>
          <w:sz w:val="22"/>
          <w:szCs w:val="22"/>
        </w:rPr>
        <w:t xml:space="preserve">" means a Channel Partner Private Offer made through AWS Marketplace.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Deal Desk Request</w:t>
      </w:r>
      <w:r>
        <w:rPr>
          <w:rFonts w:ascii="Calibri" w:cs="Calibri" w:eastAsia="Calibri" w:hAnsi="Calibri"/>
          <w:sz w:val="22"/>
          <w:szCs w:val="22"/>
        </w:rPr>
        <w:t xml:space="preserve">" means a request submitted by or on behalf of a Recruited Partner or a Registered Client for support in structuring, pricing, registering or progressing a CPPO, submitted through the channel and in the form specified in Schedule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w:t>
      </w:r>
      <w:r>
        <w:rPr>
          <w:rFonts w:ascii="Calibri" w:cs="Calibri" w:eastAsia="Calibri" w:hAnsi="Calibri"/>
          <w:sz w:val="22"/>
          <w:szCs w:val="22"/>
        </w:rPr>
        <w:t xml:space="preserve">" means the supply of the Solution to a single Registered Client under a single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 Month</w:t>
      </w:r>
      <w:r>
        <w:rPr>
          <w:rFonts w:ascii="Calibri" w:cs="Calibri" w:eastAsia="Calibri" w:hAnsi="Calibri"/>
          <w:sz w:val="22"/>
          <w:szCs w:val="22"/>
        </w:rPr>
        <w:t xml:space="preserve">" means a calendar month, or part of a calendar month, during which an Engagement is in effect.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 Order</w:t>
      </w:r>
      <w:r>
        <w:rPr>
          <w:rFonts w:ascii="Calibri" w:cs="Calibri" w:eastAsia="Calibri" w:hAnsi="Calibri"/>
          <w:sz w:val="22"/>
          <w:szCs w:val="22"/>
        </w:rPr>
        <w:t xml:space="preserve">" means an order executed by the Parties in the form set out in Schedule 6, adding a Client to the Client Registry and engaging OBP to deliver the Services for that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 Year</w:t>
      </w:r>
      <w:r>
        <w:rPr>
          <w:rFonts w:ascii="Calibri" w:cs="Calibri" w:eastAsia="Calibri" w:hAnsi="Calibri"/>
          <w:sz w:val="22"/>
          <w:szCs w:val="22"/>
        </w:rPr>
        <w:t xml:space="preserve">" means each period of twelve (12) consecutive months beginning on the start date stated in an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Issuance-Ready Package</w:t>
      </w:r>
      <w:r>
        <w:rPr>
          <w:rFonts w:ascii="Calibri" w:cs="Calibri" w:eastAsia="Calibri" w:hAnsi="Calibri"/>
          <w:sz w:val="22"/>
          <w:szCs w:val="22"/>
        </w:rPr>
        <w:t xml:space="preserve">" means a completed CPPO structure, pricing, partner and end customer details and supporting documentation, in the form stated in the Engagement Order, delivered by OBP to Automatum so that Automatum can issue the offer. Schedule 4 states what it must contain.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Losses</w:t>
      </w:r>
      <w:r>
        <w:rPr>
          <w:rFonts w:ascii="Calibri" w:cs="Calibri" w:eastAsia="Calibri" w:hAnsi="Calibri"/>
          <w:sz w:val="22"/>
          <w:szCs w:val="22"/>
        </w:rPr>
        <w:t xml:space="preserve">" means losses, liabilities, damages, judgments, settlements, fines, penalties, costs and expenses, including reasonable attorneys' fees.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OBP Materials</w:t>
      </w:r>
      <w:r>
        <w:rPr>
          <w:rFonts w:ascii="Calibri" w:cs="Calibri" w:eastAsia="Calibri" w:hAnsi="Calibri"/>
          <w:sz w:val="22"/>
          <w:szCs w:val="22"/>
        </w:rPr>
        <w:t xml:space="preserve">" means the methodologies, playbooks, templates, partner agreement forms, margin schedule forms, training curricula, enablement content, processes and know-how that OBP owns or licenses and uses in delivering the Services, together with the Partner System of Record.</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OBP Service Revenue</w:t>
      </w:r>
      <w:r>
        <w:rPr>
          <w:rFonts w:ascii="Calibri" w:cs="Calibri" w:eastAsia="Calibri" w:hAnsi="Calibri"/>
          <w:sz w:val="22"/>
          <w:szCs w:val="22"/>
        </w:rPr>
        <w:t xml:space="preserve">" has the meaning given in clause 11.2.</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Offer-Issuing Partner</w:t>
      </w:r>
      <w:r>
        <w:rPr>
          <w:rFonts w:ascii="Calibri" w:cs="Calibri" w:eastAsia="Calibri" w:hAnsi="Calibri"/>
          <w:sz w:val="22"/>
          <w:szCs w:val="22"/>
        </w:rPr>
        <w:t xml:space="preserve">" means, in respect of a Registered Client and a measurement period, a Recruited Partner that has issued at least one CPPO against that Client's listing during that period, as recorded in the Partner System of Record and determined in accordance with Schedule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Partner System of Record</w:t>
      </w:r>
      <w:r>
        <w:rPr>
          <w:rFonts w:ascii="Calibri" w:cs="Calibri" w:eastAsia="Calibri" w:hAnsi="Calibri"/>
          <w:sz w:val="22"/>
          <w:szCs w:val="22"/>
        </w:rPr>
        <w:t xml:space="preserve">" or "</w:t>
      </w:r>
      <w:r>
        <w:rPr>
          <w:rFonts w:ascii="Calibri" w:cs="Calibri" w:eastAsia="Calibri" w:hAnsi="Calibri"/>
          <w:b/>
          <w:bCs/>
          <w:sz w:val="22"/>
          <w:szCs w:val="22"/>
        </w:rPr>
        <w:t xml:space="preserve">PSR</w:t>
      </w:r>
      <w:r>
        <w:rPr>
          <w:rFonts w:ascii="Calibri" w:cs="Calibri" w:eastAsia="Calibri" w:hAnsi="Calibri"/>
          <w:sz w:val="22"/>
          <w:szCs w:val="22"/>
        </w:rPr>
        <w:t xml:space="preserve">" means the partner management platform licensed and operated by OBP under clause 10 and Schedule 5, providing partner portal, onboarding, deal registration and commission tracking functions, with HubSpot and Salesforce synchronization.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Personal Data</w:t>
      </w:r>
      <w:r>
        <w:rPr>
          <w:rFonts w:ascii="Calibri" w:cs="Calibri" w:eastAsia="Calibri" w:hAnsi="Calibri"/>
          <w:sz w:val="22"/>
          <w:szCs w:val="22"/>
        </w:rPr>
        <w:t xml:space="preserve">" means information relating to an identified or identifiable natural person that is subject to any Privacy Law.</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Privacy Law</w:t>
      </w:r>
      <w:r>
        <w:rPr>
          <w:rFonts w:ascii="Calibri" w:cs="Calibri" w:eastAsia="Calibri" w:hAnsi="Calibri"/>
          <w:sz w:val="22"/>
          <w:szCs w:val="22"/>
        </w:rPr>
        <w:t xml:space="preserve">" means any law relating to the protection of Personal Data applicable to a Party's performance under this Agreement.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Recruited Partner</w:t>
      </w:r>
      <w:r>
        <w:rPr>
          <w:rFonts w:ascii="Calibri" w:cs="Calibri" w:eastAsia="Calibri" w:hAnsi="Calibri"/>
          <w:sz w:val="22"/>
          <w:szCs w:val="22"/>
        </w:rPr>
        <w:t xml:space="preserve">" means a reseller, systems integrator, managed service provider or other channel partner that OBP recruits, contracts or onboards for a Registered Client under this Agreement.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Registered Client</w:t>
      </w:r>
      <w:r>
        <w:rPr>
          <w:rFonts w:ascii="Calibri" w:cs="Calibri" w:eastAsia="Calibri" w:hAnsi="Calibri"/>
          <w:sz w:val="22"/>
          <w:szCs w:val="22"/>
        </w:rPr>
        <w:t xml:space="preserve">" means a Client that has been added to the Client Registry under clause 4 and in respect of which an Engagement Order is in effect or has been in effect.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Selling Authorization</w:t>
      </w:r>
      <w:r>
        <w:rPr>
          <w:rFonts w:ascii="Calibri" w:cs="Calibri" w:eastAsia="Calibri" w:hAnsi="Calibri"/>
          <w:sz w:val="22"/>
          <w:szCs w:val="22"/>
        </w:rPr>
        <w:t xml:space="preserve">" means an authorization issued by Automatum through AWS Marketplace permitting a Recruited Partner to resell a listed product.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Services</w:t>
      </w:r>
      <w:r>
        <w:rPr>
          <w:rFonts w:ascii="Calibri" w:cs="Calibri" w:eastAsia="Calibri" w:hAnsi="Calibri"/>
          <w:sz w:val="22"/>
          <w:szCs w:val="22"/>
        </w:rPr>
        <w:t xml:space="preserve">" means the services OBP performs under this Agreement, as described in clause 5 and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Credit</w:t>
      </w:r>
      <w:r>
        <w:rPr>
          <w:rFonts w:ascii="Calibri" w:cs="Calibri" w:eastAsia="Calibri" w:hAnsi="Calibri"/>
          <w:sz w:val="22"/>
          <w:szCs w:val="22"/>
        </w:rPr>
        <w:t xml:space="preserve">" means a credit that Automatum is required to give a Registered Client under its Client Agreement for a failure to meet a service level.</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Solution</w:t>
      </w:r>
      <w:r>
        <w:rPr>
          <w:rFonts w:ascii="Calibri" w:cs="Calibri" w:eastAsia="Calibri" w:hAnsi="Calibri"/>
          <w:sz w:val="22"/>
          <w:szCs w:val="22"/>
        </w:rPr>
        <w:t xml:space="preserve">" means the Managed Partner Development solution described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Taxes</w:t>
      </w:r>
      <w:r>
        <w:rPr>
          <w:rFonts w:ascii="Calibri" w:cs="Calibri" w:eastAsia="Calibri" w:hAnsi="Calibri"/>
          <w:sz w:val="22"/>
          <w:szCs w:val="22"/>
        </w:rPr>
        <w:t xml:space="preserve">" means sales, use, value added, goods and services, excise and similar transaction taxes, excluding taxes on a Party's net income.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Tier</w:t>
      </w:r>
      <w:r>
        <w:rPr>
          <w:rFonts w:ascii="Calibri" w:cs="Calibri" w:eastAsia="Calibri" w:hAnsi="Calibri"/>
          <w:sz w:val="22"/>
          <w:szCs w:val="22"/>
        </w:rPr>
        <w:t xml:space="preserve">" means Tier 1, Tier 2 or Tier 3 as described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Transaction</w:t>
      </w:r>
      <w:r>
        <w:rPr>
          <w:rFonts w:ascii="Calibri" w:cs="Calibri" w:eastAsia="Calibri" w:hAnsi="Calibri"/>
          <w:sz w:val="22"/>
          <w:szCs w:val="22"/>
        </w:rPr>
        <w:t xml:space="preserve">" means a completed purchase through AWS Marketplace sourced by a Recruited Partner and attributable to a Registered Client's listing.</w:t>
      </w:r>
    </w:p>
    <w:p>
      <w:pPr>
        <w:pStyle w:val="Heading3"/>
        <w:keepNext/>
        <w:spacing w:after="120" w:before="220"/>
      </w:pPr>
      <w:r>
        <w:rPr>
          <w:rFonts w:ascii="Calibri" w:cs="Calibri" w:eastAsia="Calibri" w:hAnsi="Calibri"/>
          <w:b/>
          <w:bCs/>
          <w:sz w:val="22"/>
          <w:szCs w:val="22"/>
        </w:rPr>
        <w:t xml:space="preserve">1.2 Interpretation</w:t>
      </w:r>
    </w:p>
    <w:p>
      <w:pPr>
        <w:spacing w:after="160" w:before="0" w:line="276"/>
        <w:jc w:val="both"/>
      </w:pPr>
      <w:r>
        <w:rPr>
          <w:rFonts w:ascii="Calibri" w:cs="Calibri" w:eastAsia="Calibri" w:hAnsi="Calibri"/>
          <w:b/>
          <w:bCs/>
          <w:sz w:val="22"/>
          <w:szCs w:val="22"/>
        </w:rPr>
        <w:t xml:space="preserve">1.2.1</w:t>
      </w:r>
      <w:r>
        <w:rPr>
          <w:rFonts w:ascii="Calibri" w:cs="Calibri" w:eastAsia="Calibri" w:hAnsi="Calibri"/>
          <w:sz w:val="22"/>
          <w:szCs w:val="22"/>
        </w:rPr>
        <w:t xml:space="preserve"> Clause headings are for convenience only and do not affect interpretation.</w:t>
      </w:r>
    </w:p>
    <w:p>
      <w:pPr>
        <w:spacing w:after="160" w:before="0" w:line="276"/>
        <w:jc w:val="both"/>
      </w:pPr>
      <w:r>
        <w:rPr>
          <w:rFonts w:ascii="Calibri" w:cs="Calibri" w:eastAsia="Calibri" w:hAnsi="Calibri"/>
          <w:b/>
          <w:bCs/>
          <w:sz w:val="22"/>
          <w:szCs w:val="22"/>
        </w:rPr>
        <w:t xml:space="preserve">1.2.2</w:t>
      </w:r>
      <w:r>
        <w:rPr>
          <w:rFonts w:ascii="Calibri" w:cs="Calibri" w:eastAsia="Calibri" w:hAnsi="Calibri"/>
          <w:sz w:val="22"/>
          <w:szCs w:val="22"/>
        </w:rPr>
        <w:t xml:space="preserve"> "Including", "includes" and "for example" are not words of limitation, and are read as if followed by "without limitation".</w:t>
      </w:r>
    </w:p>
    <w:p>
      <w:pPr>
        <w:spacing w:after="160" w:before="0" w:line="276"/>
        <w:jc w:val="both"/>
      </w:pPr>
      <w:r>
        <w:rPr>
          <w:rFonts w:ascii="Calibri" w:cs="Calibri" w:eastAsia="Calibri" w:hAnsi="Calibri"/>
          <w:b/>
          <w:bCs/>
          <w:sz w:val="22"/>
          <w:szCs w:val="22"/>
        </w:rPr>
        <w:t xml:space="preserve">1.2.3</w:t>
      </w:r>
      <w:r>
        <w:rPr>
          <w:rFonts w:ascii="Calibri" w:cs="Calibri" w:eastAsia="Calibri" w:hAnsi="Calibri"/>
          <w:sz w:val="22"/>
          <w:szCs w:val="22"/>
        </w:rPr>
        <w:t xml:space="preserve"> "$" and "USD" mean United States dollars. All amounts in this Agreement are stated exclusive of Taxes.</w:t>
      </w:r>
    </w:p>
    <w:p>
      <w:pPr>
        <w:spacing w:after="160" w:before="0" w:line="276"/>
        <w:jc w:val="both"/>
      </w:pPr>
      <w:r>
        <w:rPr>
          <w:rFonts w:ascii="Calibri" w:cs="Calibri" w:eastAsia="Calibri" w:hAnsi="Calibri"/>
          <w:b/>
          <w:bCs/>
          <w:sz w:val="22"/>
          <w:szCs w:val="22"/>
        </w:rPr>
        <w:t xml:space="preserve">1.2.4</w:t>
      </w:r>
      <w:r>
        <w:rPr>
          <w:rFonts w:ascii="Calibri" w:cs="Calibri" w:eastAsia="Calibri" w:hAnsi="Calibri"/>
          <w:sz w:val="22"/>
          <w:szCs w:val="22"/>
        </w:rPr>
        <w:t xml:space="preserve"> A reference to a clause or Schedule is to a clause of, or Schedule to, this Agreement. The Schedules form part of this Agreement.</w:t>
      </w:r>
    </w:p>
    <w:p>
      <w:pPr>
        <w:spacing w:after="160" w:before="0" w:line="276"/>
        <w:jc w:val="both"/>
      </w:pPr>
      <w:r>
        <w:rPr>
          <w:rFonts w:ascii="Calibri" w:cs="Calibri" w:eastAsia="Calibri" w:hAnsi="Calibri"/>
          <w:b/>
          <w:bCs/>
          <w:sz w:val="22"/>
          <w:szCs w:val="22"/>
        </w:rPr>
        <w:t xml:space="preserve">1.2.5</w:t>
      </w:r>
      <w:r>
        <w:rPr>
          <w:rFonts w:ascii="Calibri" w:cs="Calibri" w:eastAsia="Calibri" w:hAnsi="Calibri"/>
          <w:sz w:val="22"/>
          <w:szCs w:val="22"/>
        </w:rPr>
        <w:t xml:space="preserve"> The singular includes the plural and the reverse.</w:t>
      </w:r>
    </w:p>
    <w:p>
      <w:pPr>
        <w:spacing w:after="160" w:before="0" w:line="276"/>
        <w:jc w:val="both"/>
      </w:pPr>
      <w:r>
        <w:rPr>
          <w:rFonts w:ascii="Calibri" w:cs="Calibri" w:eastAsia="Calibri" w:hAnsi="Calibri"/>
          <w:b/>
          <w:bCs/>
          <w:sz w:val="22"/>
          <w:szCs w:val="22"/>
        </w:rPr>
        <w:t xml:space="preserve">1.2.6</w:t>
      </w:r>
      <w:r>
        <w:rPr>
          <w:rFonts w:ascii="Calibri" w:cs="Calibri" w:eastAsia="Calibri" w:hAnsi="Calibri"/>
          <w:sz w:val="22"/>
          <w:szCs w:val="22"/>
        </w:rPr>
        <w:t xml:space="preserve"> A reference to a statute, regulation or AWS Program Term is to it as amended, replaced or superseded from time to time.</w:t>
      </w:r>
    </w:p>
    <w:p>
      <w:pPr>
        <w:spacing w:after="160" w:before="0" w:line="276"/>
        <w:jc w:val="both"/>
      </w:pPr>
      <w:r>
        <w:rPr>
          <w:rFonts w:ascii="Calibri" w:cs="Calibri" w:eastAsia="Calibri" w:hAnsi="Calibri"/>
          <w:b/>
          <w:bCs/>
          <w:sz w:val="22"/>
          <w:szCs w:val="22"/>
        </w:rPr>
        <w:t xml:space="preserve">1.2.7</w:t>
      </w:r>
      <w:r>
        <w:rPr>
          <w:rFonts w:ascii="Calibri" w:cs="Calibri" w:eastAsia="Calibri" w:hAnsi="Calibri"/>
          <w:sz w:val="22"/>
          <w:szCs w:val="22"/>
        </w:rPr>
        <w:t xml:space="preserve"> No rule of construction operates against the Party that drafted this Agreement.</w:t>
      </w:r>
    </w:p>
    <w:p>
      <w:pPr>
        <w:pStyle w:val="Heading2"/>
        <w:keepNext/>
        <w:spacing w:after="140" w:before="300"/>
      </w:pPr>
      <w:r>
        <w:rPr>
          <w:rFonts w:ascii="Calibri" w:cs="Calibri" w:eastAsia="Calibri" w:hAnsi="Calibri"/>
          <w:b/>
          <w:bCs/>
          <w:sz w:val="24"/>
          <w:szCs w:val="24"/>
        </w:rPr>
        <w:t xml:space="preserve">2. Structure and Order of Precedence</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This Agreement consists of these clauses, the Schedules, and each Engagement Order executed under it.</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An Engagement Order incorporates this Agreement by reference and does not need to restate it. An Engagement Order takes effect only when signed by both Parties.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If there is a conflict, the following order of precedence applies, with the higher item prevailing over the lower to the extent of the conflict:</w:t>
      </w:r>
    </w:p>
    <w:p>
      <w:pPr>
        <w:spacing w:after="80" w:before="60" w:line="276"/>
        <w:ind w:left="780" w:hanging="360"/>
      </w:pPr>
      <w:r>
        <w:rPr>
          <w:rFonts w:ascii="Calibri" w:cs="Calibri" w:eastAsia="Calibri" w:hAnsi="Calibri"/>
          <w:sz w:val="22"/>
          <w:szCs w:val="22"/>
        </w:rPr>
        <w:t xml:space="preserve">a.	an Engagement Order, but only in respect of the Engagement to which it relates, and only where it expressly identifies the clause or Schedule provision it varies;</w:t>
      </w:r>
    </w:p>
    <w:p>
      <w:pPr>
        <w:spacing w:after="80" w:before="60" w:line="276"/>
        <w:ind w:left="780" w:hanging="360"/>
      </w:pPr>
      <w:r>
        <w:rPr>
          <w:rFonts w:ascii="Calibri" w:cs="Calibri" w:eastAsia="Calibri" w:hAnsi="Calibri"/>
          <w:sz w:val="22"/>
          <w:szCs w:val="22"/>
        </w:rPr>
        <w:t xml:space="preserve">b.	these clauses 1 to 27;</w:t>
      </w:r>
    </w:p>
    <w:p>
      <w:pPr>
        <w:spacing w:after="80" w:before="60" w:line="276"/>
        <w:ind w:left="780" w:hanging="360"/>
      </w:pPr>
      <w:r>
        <w:rPr>
          <w:rFonts w:ascii="Calibri" w:cs="Calibri" w:eastAsia="Calibri" w:hAnsi="Calibri"/>
          <w:sz w:val="22"/>
          <w:szCs w:val="22"/>
        </w:rPr>
        <w:t xml:space="preserve">c.	the Schedules.</w:t>
      </w:r>
    </w:p>
    <w:p>
      <w:pPr>
        <w:spacing w:after="160" w:before="0" w:line="276"/>
        <w:jc w:val="both"/>
      </w:pPr>
      <w:r>
        <w:rPr>
          <w:rFonts w:ascii="Calibri" w:cs="Calibri" w:eastAsia="Calibri" w:hAnsi="Calibri"/>
          <w:b/>
          <w:bCs/>
          <w:sz w:val="22"/>
          <w:szCs w:val="22"/>
        </w:rPr>
        <w:t xml:space="preserve">2.4</w:t>
      </w:r>
      <w:r>
        <w:rPr>
          <w:rFonts w:ascii="Calibri" w:cs="Calibri" w:eastAsia="Calibri" w:hAnsi="Calibri"/>
          <w:sz w:val="22"/>
          <w:szCs w:val="22"/>
        </w:rPr>
        <w:t xml:space="preserve"> A Client Agreement is not part of this Agreement, does not bind OBP, and cannot vary this Agreement. Clause 6.5 governs the extent to which Client Agreement terms flow down to OBP.</w:t>
      </w:r>
    </w:p>
    <w:p>
      <w:pPr>
        <w:pStyle w:val="Heading2"/>
        <w:keepNext/>
        <w:spacing w:after="140" w:before="300"/>
      </w:pPr>
      <w:r>
        <w:rPr>
          <w:rFonts w:ascii="Calibri" w:cs="Calibri" w:eastAsia="Calibri" w:hAnsi="Calibri"/>
          <w:b/>
          <w:bCs/>
          <w:sz w:val="24"/>
          <w:szCs w:val="24"/>
        </w:rPr>
        <w:t xml:space="preserve">3. Appointment</w:t>
      </w:r>
    </w:p>
    <w:p>
      <w:pPr>
        <w:spacing w:after="160" w:before="0" w:line="276"/>
        <w:jc w:val="both"/>
      </w:pPr>
      <w:r>
        <w:rPr>
          <w:rFonts w:ascii="Calibri" w:cs="Calibri" w:eastAsia="Calibri" w:hAnsi="Calibri"/>
          <w:b/>
          <w:bCs/>
          <w:sz w:val="22"/>
          <w:szCs w:val="22"/>
        </w:rPr>
        <w:t xml:space="preserve">3.1 Appointment.</w:t>
      </w:r>
      <w:r>
        <w:rPr>
          <w:rFonts w:ascii="Calibri" w:cs="Calibri" w:eastAsia="Calibri" w:hAnsi="Calibri"/>
          <w:sz w:val="22"/>
          <w:szCs w:val="22"/>
        </w:rPr>
        <w:t xml:space="preserve"> Automatum appoints OBP, and OBP accepts appointment, as a delivery subcontractor to perform the Services for Registered Clients under the Automatum Brand, on the terms of this Agreement.</w:t>
      </w:r>
    </w:p>
    <w:p>
      <w:pPr>
        <w:spacing w:after="160" w:before="0" w:line="276"/>
        <w:jc w:val="both"/>
      </w:pPr>
      <w:r>
        <w:rPr>
          <w:rFonts w:ascii="Calibri" w:cs="Calibri" w:eastAsia="Calibri" w:hAnsi="Calibri"/>
          <w:b/>
          <w:bCs/>
          <w:sz w:val="22"/>
          <w:szCs w:val="22"/>
        </w:rPr>
        <w:t xml:space="preserve">3.2 Non-exclusive.</w:t>
      </w:r>
      <w:r>
        <w:rPr>
          <w:rFonts w:ascii="Calibri" w:cs="Calibri" w:eastAsia="Calibri" w:hAnsi="Calibri"/>
          <w:sz w:val="22"/>
          <w:szCs w:val="22"/>
        </w:rPr>
        <w:t xml:space="preserve"> The appointment is non-exclusive in both directions. Nothing in this Agreement prevents:</w:t>
      </w:r>
    </w:p>
    <w:p>
      <w:pPr>
        <w:spacing w:after="80" w:before="60" w:line="276"/>
        <w:ind w:left="780" w:hanging="360"/>
      </w:pPr>
      <w:r>
        <w:rPr>
          <w:rFonts w:ascii="Calibri" w:cs="Calibri" w:eastAsia="Calibri" w:hAnsi="Calibri"/>
          <w:sz w:val="22"/>
          <w:szCs w:val="22"/>
        </w:rPr>
        <w:t xml:space="preserve">a.	Automatum from performing the Services itself, or from appointing any other person to perform services that are the same as or similar to the Services, for any client; or</w:t>
      </w:r>
    </w:p>
    <w:p>
      <w:pPr>
        <w:spacing w:after="80" w:before="60" w:line="276"/>
        <w:ind w:left="780" w:hanging="360"/>
      </w:pPr>
      <w:r>
        <w:rPr>
          <w:rFonts w:ascii="Calibri" w:cs="Calibri" w:eastAsia="Calibri" w:hAnsi="Calibri"/>
          <w:sz w:val="22"/>
          <w:szCs w:val="22"/>
        </w:rPr>
        <w:t xml:space="preserve">b.	OBP from providing services that are the same as or similar to the Services to any other person, including to another AWS Marketplace seller.</w:t>
      </w:r>
    </w:p>
    <w:p>
      <w:pPr>
        <w:spacing w:after="160" w:before="0" w:line="276"/>
        <w:jc w:val="both"/>
      </w:pPr>
      <w:r>
        <w:rPr>
          <w:rFonts w:ascii="Calibri" w:cs="Calibri" w:eastAsia="Calibri" w:hAnsi="Calibri"/>
          <w:sz w:val="22"/>
          <w:szCs w:val="22"/>
        </w:rPr>
        <w:t xml:space="preserve">This clause 3.2 is subject to clause 15 (Non-Circumvention and Non-Solicitation), which operates only in respect of Registered Clients and Recruited Partners.</w:t>
      </w:r>
    </w:p>
    <w:p>
      <w:pPr>
        <w:spacing w:after="160" w:before="0" w:line="276"/>
        <w:jc w:val="both"/>
      </w:pPr>
      <w:r>
        <w:rPr>
          <w:rFonts w:ascii="Calibri" w:cs="Calibri" w:eastAsia="Calibri" w:hAnsi="Calibri"/>
          <w:b/>
          <w:bCs/>
          <w:sz w:val="22"/>
          <w:szCs w:val="22"/>
        </w:rPr>
        <w:t xml:space="preserve">3.3 No volume commitment.</w:t>
      </w:r>
      <w:r>
        <w:rPr>
          <w:rFonts w:ascii="Calibri" w:cs="Calibri" w:eastAsia="Calibri" w:hAnsi="Calibri"/>
          <w:sz w:val="22"/>
          <w:szCs w:val="22"/>
        </w:rPr>
        <w:t xml:space="preserve"> Automatum does not commit to any minimum number of Engagements, Registered Clients or Client Fees. OBP acknowledges that it has not relied on any forecast, including any projection in the feasibility study referred to in Recital C, in entering into this Agreement.</w:t>
      </w:r>
    </w:p>
    <w:p>
      <w:pPr>
        <w:spacing w:after="160" w:before="0" w:line="276"/>
        <w:jc w:val="both"/>
      </w:pPr>
      <w:r>
        <w:rPr>
          <w:rFonts w:ascii="Calibri" w:cs="Calibri" w:eastAsia="Calibri" w:hAnsi="Calibri"/>
          <w:b/>
          <w:bCs/>
          <w:sz w:val="22"/>
          <w:szCs w:val="22"/>
        </w:rPr>
        <w:t xml:space="preserve">3.4 No agency.</w:t>
      </w:r>
      <w:r>
        <w:rPr>
          <w:rFonts w:ascii="Calibri" w:cs="Calibri" w:eastAsia="Calibri" w:hAnsi="Calibri"/>
          <w:sz w:val="22"/>
          <w:szCs w:val="22"/>
        </w:rPr>
        <w:t xml:space="preserve"> OBP is an independent contractor. OBP is not Automatum's agent, employee, partner or joint venturer, and has no authority to enter into any commitment, make any representation, incur any liability or accept any obligation on Automatum's behalf, except as Automatum expressly authorizes in writing in respect of a specific matter.</w:t>
      </w:r>
    </w:p>
    <w:p>
      <w:pPr>
        <w:spacing w:after="160" w:before="0" w:line="276"/>
        <w:jc w:val="both"/>
      </w:pPr>
      <w:r>
        <w:rPr>
          <w:rFonts w:ascii="Calibri" w:cs="Calibri" w:eastAsia="Calibri" w:hAnsi="Calibri"/>
          <w:b/>
          <w:bCs/>
          <w:sz w:val="22"/>
          <w:szCs w:val="22"/>
        </w:rPr>
        <w:t xml:space="preserve">3.5 Prime responsibility.</w:t>
      </w:r>
      <w:r>
        <w:rPr>
          <w:rFonts w:ascii="Calibri" w:cs="Calibri" w:eastAsia="Calibri" w:hAnsi="Calibri"/>
          <w:sz w:val="22"/>
          <w:szCs w:val="22"/>
        </w:rPr>
        <w:t xml:space="preserve"> As between the Parties and each Registered Client, Automatum is the prime contractor and is responsible to the Registered Client for the Solution as a whole. As between the Parties, OBP is responsible for the Services and for the acts and omissions of its personnel and subcontractors in performing them.</w:t>
      </w:r>
    </w:p>
    <w:p>
      <w:pPr>
        <w:pStyle w:val="Heading2"/>
        <w:keepNext/>
        <w:spacing w:after="140" w:before="300"/>
      </w:pPr>
      <w:r>
        <w:rPr>
          <w:rFonts w:ascii="Calibri" w:cs="Calibri" w:eastAsia="Calibri" w:hAnsi="Calibri"/>
          <w:b/>
          <w:bCs/>
          <w:sz w:val="24"/>
          <w:szCs w:val="24"/>
        </w:rPr>
        <w:t xml:space="preserve">4. Client Registry and Engagement Orders</w:t>
      </w:r>
    </w:p>
    <w:p>
      <w:pPr>
        <w:spacing w:after="160" w:before="0" w:line="276"/>
        <w:jc w:val="both"/>
      </w:pPr>
      <w:r>
        <w:rPr>
          <w:rFonts w:ascii="Calibri" w:cs="Calibri" w:eastAsia="Calibri" w:hAnsi="Calibri"/>
          <w:b/>
          <w:bCs/>
          <w:sz w:val="22"/>
          <w:szCs w:val="22"/>
        </w:rPr>
        <w:t xml:space="preserve">4.1 Purpose.</w:t>
      </w:r>
      <w:r>
        <w:rPr>
          <w:rFonts w:ascii="Calibri" w:cs="Calibri" w:eastAsia="Calibri" w:hAnsi="Calibri"/>
          <w:sz w:val="22"/>
          <w:szCs w:val="22"/>
        </w:rPr>
        <w:t xml:space="preserve"> Because the appointment is non-exclusive, the Client Registry is the sole record of which Clients are subject to this Agreement. A Client is within the scope of this Agreement only once it is entered in the Client Registry.</w:t>
      </w:r>
    </w:p>
    <w:p>
      <w:pPr>
        <w:spacing w:after="160" w:before="0" w:line="276"/>
        <w:jc w:val="both"/>
      </w:pPr>
      <w:r>
        <w:rPr>
          <w:rFonts w:ascii="Calibri" w:cs="Calibri" w:eastAsia="Calibri" w:hAnsi="Calibri"/>
          <w:b/>
          <w:bCs/>
          <w:sz w:val="22"/>
          <w:szCs w:val="22"/>
        </w:rPr>
        <w:t xml:space="preserve">4.2 Adding a Client.</w:t>
      </w:r>
      <w:r>
        <w:rPr>
          <w:rFonts w:ascii="Calibri" w:cs="Calibri" w:eastAsia="Calibri" w:hAnsi="Calibri"/>
          <w:sz w:val="22"/>
          <w:szCs w:val="22"/>
        </w:rPr>
        <w:t xml:space="preserve"> A Client is added to the Client Registry when the Parties execute an Engagement Order for that Client. Automatum maintains the Client Registry and provides OBP with a current copy on request and in any event with each monthly statement under clause 11.6.</w:t>
      </w:r>
    </w:p>
    <w:p>
      <w:pPr>
        <w:spacing w:after="160" w:before="0" w:line="276"/>
        <w:jc w:val="both"/>
      </w:pPr>
      <w:r>
        <w:rPr>
          <w:rFonts w:ascii="Calibri" w:cs="Calibri" w:eastAsia="Calibri" w:hAnsi="Calibri"/>
          <w:b/>
          <w:bCs/>
          <w:sz w:val="22"/>
          <w:szCs w:val="22"/>
        </w:rPr>
        <w:t xml:space="preserve">4.3 Engagement Order contents.</w:t>
      </w:r>
      <w:r>
        <w:rPr>
          <w:rFonts w:ascii="Calibri" w:cs="Calibri" w:eastAsia="Calibri" w:hAnsi="Calibri"/>
          <w:sz w:val="22"/>
          <w:szCs w:val="22"/>
        </w:rPr>
        <w:t xml:space="preserve"> Each Engagement Order states at least: the Client's legal name; the Tier; the Engagement start date and Engagement Year dates; the Client Fees; the resulting OBP Service Revenue calculated under clause 11.2; the named personnel required by clause 9; the PSR seat allocation; and any variation to this Agreement permitted by clause 2.3(a).</w:t>
      </w:r>
    </w:p>
    <w:p>
      <w:pPr>
        <w:spacing w:after="160" w:before="0" w:line="276"/>
        <w:jc w:val="both"/>
      </w:pPr>
      <w:r>
        <w:rPr>
          <w:rFonts w:ascii="Calibri" w:cs="Calibri" w:eastAsia="Calibri" w:hAnsi="Calibri"/>
          <w:b/>
          <w:bCs/>
          <w:sz w:val="22"/>
          <w:szCs w:val="22"/>
        </w:rPr>
        <w:t xml:space="preserve">4.4 Prior relationships.</w:t>
      </w:r>
      <w:r>
        <w:rPr>
          <w:rFonts w:ascii="Calibri" w:cs="Calibri" w:eastAsia="Calibri" w:hAnsi="Calibri"/>
          <w:sz w:val="22"/>
          <w:szCs w:val="22"/>
        </w:rPr>
        <w:t xml:space="preserve"> Before an Engagement Order is executed, OBP may notify Automatum in writing that it has a pre-existing relationship with the proposed Client or with a named partner of that Client, giving reasonable evidence of that relationship. A relationship so notified and evidenced is a "Prior Relationship" and is carved out of clause 15.2 in respect of that Client or partner. A relationship not notified before the Engagement Order is executed is not a Prior Relationship.</w:t>
      </w:r>
    </w:p>
    <w:p>
      <w:pPr>
        <w:spacing w:after="160" w:before="0" w:line="276"/>
        <w:jc w:val="both"/>
      </w:pPr>
      <w:r>
        <w:rPr>
          <w:rFonts w:ascii="Calibri" w:cs="Calibri" w:eastAsia="Calibri" w:hAnsi="Calibri"/>
          <w:b/>
          <w:bCs/>
          <w:sz w:val="22"/>
          <w:szCs w:val="22"/>
        </w:rPr>
        <w:t xml:space="preserve">4.5 Refusal.</w:t>
      </w:r>
      <w:r>
        <w:rPr>
          <w:rFonts w:ascii="Calibri" w:cs="Calibri" w:eastAsia="Calibri" w:hAnsi="Calibri"/>
          <w:sz w:val="22"/>
          <w:szCs w:val="22"/>
        </w:rPr>
        <w:t xml:space="preserve"> OBP may decline a proposed Engagement Order by notice given within five (5) Business Days of receiving it, acting reasonably, including where OBP lacks capacity to meet the service levels for the proposed Tier or where the proposed Client competes with an existing OBP client. Declining does not breach this Agreement. Automatum may then perform the Services itself or appoint another provider for that Client, and that Client is not a Registered Client.</w:t>
      </w:r>
    </w:p>
    <w:p>
      <w:pPr>
        <w:spacing w:after="160" w:before="0" w:line="276"/>
        <w:jc w:val="both"/>
      </w:pPr>
      <w:r>
        <w:rPr>
          <w:rFonts w:ascii="Calibri" w:cs="Calibri" w:eastAsia="Calibri" w:hAnsi="Calibri"/>
          <w:b/>
          <w:bCs/>
          <w:sz w:val="22"/>
          <w:szCs w:val="22"/>
        </w:rPr>
        <w:t xml:space="preserve">4.6 Removal.</w:t>
      </w:r>
      <w:r>
        <w:rPr>
          <w:rFonts w:ascii="Calibri" w:cs="Calibri" w:eastAsia="Calibri" w:hAnsi="Calibri"/>
          <w:sz w:val="22"/>
          <w:szCs w:val="22"/>
        </w:rPr>
        <w:t xml:space="preserve"> A Client remains in the Client Registry while its Engagement is in effect and for the tail period stated in clause 15.4, after which it is marked closed. Closure does not affect obligations that survive under clause 23.6.</w:t>
      </w:r>
    </w:p>
    <w:p>
      <w:pPr>
        <w:pStyle w:val="Heading2"/>
        <w:keepNext/>
        <w:spacing w:after="140" w:before="300"/>
      </w:pPr>
      <w:r>
        <w:rPr>
          <w:rFonts w:ascii="Calibri" w:cs="Calibri" w:eastAsia="Calibri" w:hAnsi="Calibri"/>
          <w:b/>
          <w:bCs/>
          <w:sz w:val="24"/>
          <w:szCs w:val="24"/>
        </w:rPr>
        <w:t xml:space="preserve">5. OBP Delivery Obligations</w:t>
      </w:r>
    </w:p>
    <w:p>
      <w:pPr>
        <w:spacing w:after="160" w:before="0" w:line="276"/>
        <w:jc w:val="both"/>
      </w:pPr>
      <w:r>
        <w:rPr>
          <w:rFonts w:ascii="Calibri" w:cs="Calibri" w:eastAsia="Calibri" w:hAnsi="Calibri"/>
          <w:b/>
          <w:bCs/>
          <w:sz w:val="22"/>
          <w:szCs w:val="22"/>
        </w:rPr>
        <w:t xml:space="preserve">5.1 The Services.</w:t>
      </w:r>
      <w:r>
        <w:rPr>
          <w:rFonts w:ascii="Calibri" w:cs="Calibri" w:eastAsia="Calibri" w:hAnsi="Calibri"/>
          <w:sz w:val="22"/>
          <w:szCs w:val="22"/>
        </w:rPr>
        <w:t xml:space="preserve"> For each Engagement, OBP will perform the Services described in Schedule 1 for the applicable Tier, in accordance with the service levels in Schedule 4, using suitably skilled and experienced personnel, with reasonable skill and care.</w:t>
      </w:r>
    </w:p>
    <w:p>
      <w:pPr>
        <w:spacing w:after="160" w:before="0" w:line="276"/>
        <w:jc w:val="both"/>
      </w:pPr>
      <w:r>
        <w:rPr>
          <w:rFonts w:ascii="Calibri" w:cs="Calibri" w:eastAsia="Calibri" w:hAnsi="Calibri"/>
          <w:b/>
          <w:bCs/>
          <w:sz w:val="22"/>
          <w:szCs w:val="22"/>
        </w:rPr>
        <w:t xml:space="preserve">5.2 Partner recruitment.</w:t>
      </w:r>
      <w:r>
        <w:rPr>
          <w:rFonts w:ascii="Calibri" w:cs="Calibri" w:eastAsia="Calibri" w:hAnsi="Calibri"/>
          <w:sz w:val="22"/>
          <w:szCs w:val="22"/>
        </w:rPr>
        <w:t xml:space="preserve"> OBP will identify, qualify, recruit and onboard Recruited Partners for each Registered Client up to the number stated for the applicable Tier in Schedule 1.</w:t>
      </w:r>
    </w:p>
    <w:p>
      <w:pPr>
        <w:spacing w:after="160" w:before="0" w:line="276"/>
        <w:jc w:val="both"/>
      </w:pPr>
      <w:r>
        <w:rPr>
          <w:rFonts w:ascii="Calibri" w:cs="Calibri" w:eastAsia="Calibri" w:hAnsi="Calibri"/>
          <w:b/>
          <w:bCs/>
          <w:sz w:val="22"/>
          <w:szCs w:val="22"/>
        </w:rPr>
        <w:t xml:space="preserve">5.3 Recruitment is a ceiling, not a minimum.</w:t>
      </w:r>
      <w:r>
        <w:rPr>
          <w:rFonts w:ascii="Calibri" w:cs="Calibri" w:eastAsia="Calibri" w:hAnsi="Calibri"/>
          <w:sz w:val="22"/>
          <w:szCs w:val="22"/>
        </w:rPr>
        <w:t xml:space="preserve"> The partner numbers in Schedule 1 are the maximum number of Recruited Partners OBP is obliged to recruit and onboard at each Tier. OBP does not warrant, and is not obliged to procure, that any minimum number of partners is recruited, onboarded, authorized, transacts, or becomes an Active Partner. Automatum will not represent otherwise to any Client. This clause 5.3 prevails over any contrary reading of Schedule 1.</w:t>
      </w:r>
    </w:p>
    <w:p>
      <w:pPr>
        <w:spacing w:after="160" w:before="0" w:line="276"/>
        <w:jc w:val="both"/>
      </w:pPr>
      <w:r>
        <w:rPr>
          <w:rFonts w:ascii="Calibri" w:cs="Calibri" w:eastAsia="Calibri" w:hAnsi="Calibri"/>
          <w:b/>
          <w:bCs/>
          <w:sz w:val="22"/>
          <w:szCs w:val="22"/>
        </w:rPr>
        <w:t xml:space="preserve">5.4 Partner contracting.</w:t>
      </w:r>
      <w:r>
        <w:rPr>
          <w:rFonts w:ascii="Calibri" w:cs="Calibri" w:eastAsia="Calibri" w:hAnsi="Calibri"/>
          <w:sz w:val="22"/>
          <w:szCs w:val="22"/>
        </w:rPr>
        <w:t xml:space="preserve"> OBP will draft, issue and administer the partner agreement and margin schedule for each Registered Client's channel. Each partner agreement is executed between the Registered Client, or Automatum acting as that Client's agent, and the Recruited Partner. </w:t>
      </w:r>
      <w:r>
        <w:rPr>
          <w:rFonts w:ascii="Calibri" w:cs="Calibri" w:eastAsia="Calibri" w:hAnsi="Calibri"/>
          <w:b/>
          <w:bCs/>
          <w:sz w:val="22"/>
          <w:szCs w:val="22"/>
        </w:rPr>
        <w:t xml:space="preserve">OBP is not a party to any partner agreement as principal</w:t>
      </w:r>
      <w:r>
        <w:rPr>
          <w:rFonts w:ascii="Calibri" w:cs="Calibri" w:eastAsia="Calibri" w:hAnsi="Calibri"/>
          <w:sz w:val="22"/>
          <w:szCs w:val="22"/>
        </w:rPr>
        <w:t xml:space="preserve"> and will not enter into any partner agreement in its own name. OBP administers partner agreements as agent, under the limited authority granted in the relevant Engagement Order and no wider.</w:t>
      </w:r>
    </w:p>
    <w:p>
      <w:pPr>
        <w:spacing w:after="160" w:before="0" w:line="276"/>
        <w:jc w:val="both"/>
      </w:pPr>
      <w:r>
        <w:rPr>
          <w:rFonts w:ascii="Calibri" w:cs="Calibri" w:eastAsia="Calibri" w:hAnsi="Calibri"/>
          <w:b/>
          <w:bCs/>
          <w:sz w:val="22"/>
          <w:szCs w:val="22"/>
        </w:rPr>
        <w:t xml:space="preserve">5.5 Enablement and training.</w:t>
      </w:r>
      <w:r>
        <w:rPr>
          <w:rFonts w:ascii="Calibri" w:cs="Calibri" w:eastAsia="Calibri" w:hAnsi="Calibri"/>
          <w:sz w:val="22"/>
          <w:szCs w:val="22"/>
        </w:rPr>
        <w:t xml:space="preserve"> OBP will deliver partner enablement and training sessions at the cadence stated for the applicable Tier in Schedule 1.</w:t>
      </w:r>
    </w:p>
    <w:p>
      <w:pPr>
        <w:spacing w:after="160" w:before="0" w:line="276"/>
        <w:jc w:val="both"/>
      </w:pPr>
      <w:r>
        <w:rPr>
          <w:rFonts w:ascii="Calibri" w:cs="Calibri" w:eastAsia="Calibri" w:hAnsi="Calibri"/>
          <w:b/>
          <w:bCs/>
          <w:sz w:val="22"/>
          <w:szCs w:val="22"/>
        </w:rPr>
        <w:t xml:space="preserve">5.6 Deal desk.</w:t>
      </w:r>
      <w:r>
        <w:rPr>
          <w:rFonts w:ascii="Calibri" w:cs="Calibri" w:eastAsia="Calibri" w:hAnsi="Calibri"/>
          <w:sz w:val="22"/>
          <w:szCs w:val="22"/>
        </w:rPr>
        <w:t xml:space="preserve"> OBP will operate the CPPO deal desk, receiving Deal Desk Requests and delivering an Issuance-Ready Package to Automatum within the OBP leg of the applicable service level in Schedule 4. OBP's deal desk obligation ends on delivery of the Issuance-Ready Package; issuance is Automatum's under clause 6.3.</w:t>
      </w:r>
    </w:p>
    <w:p>
      <w:pPr>
        <w:spacing w:after="160" w:before="0" w:line="276"/>
        <w:jc w:val="both"/>
      </w:pPr>
      <w:r>
        <w:rPr>
          <w:rFonts w:ascii="Calibri" w:cs="Calibri" w:eastAsia="Calibri" w:hAnsi="Calibri"/>
          <w:b/>
          <w:bCs/>
          <w:sz w:val="22"/>
          <w:szCs w:val="22"/>
        </w:rPr>
        <w:t xml:space="preserve">5.7 Channel Reviews.</w:t>
      </w:r>
      <w:r>
        <w:rPr>
          <w:rFonts w:ascii="Calibri" w:cs="Calibri" w:eastAsia="Calibri" w:hAnsi="Calibri"/>
          <w:sz w:val="22"/>
          <w:szCs w:val="22"/>
        </w:rPr>
        <w:t xml:space="preserve"> OBP will prepare and deliver Channel Reviews at the cadence stated for the applicable Tier in Schedule 1.</w:t>
      </w:r>
    </w:p>
    <w:p>
      <w:pPr>
        <w:spacing w:after="160" w:before="0" w:line="276"/>
        <w:jc w:val="both"/>
      </w:pPr>
      <w:r>
        <w:rPr>
          <w:rFonts w:ascii="Calibri" w:cs="Calibri" w:eastAsia="Calibri" w:hAnsi="Calibri"/>
          <w:b/>
          <w:bCs/>
          <w:sz w:val="22"/>
          <w:szCs w:val="22"/>
        </w:rPr>
        <w:t xml:space="preserve">5.8 Selling Authorizations.</w:t>
      </w:r>
      <w:r>
        <w:rPr>
          <w:rFonts w:ascii="Calibri" w:cs="Calibri" w:eastAsia="Calibri" w:hAnsi="Calibri"/>
          <w:sz w:val="22"/>
          <w:szCs w:val="22"/>
        </w:rPr>
        <w:t xml:space="preserve"> OBP will prepare, and submit to Automatum for issuance, requests for recurring Selling Authorizations for Recruited Partners, and will track their status in the PSR. Issuance is Automatum's under clause 6.3.</w:t>
      </w:r>
    </w:p>
    <w:p>
      <w:pPr>
        <w:spacing w:after="160" w:before="0" w:line="276"/>
        <w:jc w:val="both"/>
      </w:pPr>
      <w:r>
        <w:rPr>
          <w:rFonts w:ascii="Calibri" w:cs="Calibri" w:eastAsia="Calibri" w:hAnsi="Calibri"/>
          <w:b/>
          <w:bCs/>
          <w:sz w:val="22"/>
          <w:szCs w:val="22"/>
        </w:rPr>
        <w:t xml:space="preserve">5.9 Partner System of Record.</w:t>
      </w:r>
      <w:r>
        <w:rPr>
          <w:rFonts w:ascii="Calibri" w:cs="Calibri" w:eastAsia="Calibri" w:hAnsi="Calibri"/>
          <w:sz w:val="22"/>
          <w:szCs w:val="22"/>
        </w:rPr>
        <w:t xml:space="preserve"> OBP will stand up, configure, host, operate, support and maintain the PSR for each Engagement in accordance with clause 10 and Schedule 5. The PSR is supplied within the OBP Service Revenue and is not separately chargeable.</w:t>
      </w:r>
    </w:p>
    <w:p>
      <w:pPr>
        <w:spacing w:after="160" w:before="0" w:line="276"/>
        <w:jc w:val="both"/>
      </w:pPr>
      <w:r>
        <w:rPr>
          <w:rFonts w:ascii="Calibri" w:cs="Calibri" w:eastAsia="Calibri" w:hAnsi="Calibri"/>
          <w:b/>
          <w:bCs/>
          <w:sz w:val="22"/>
          <w:szCs w:val="22"/>
        </w:rPr>
        <w:t xml:space="preserve">5.10 Attribution.</w:t>
      </w:r>
      <w:r>
        <w:rPr>
          <w:rFonts w:ascii="Calibri" w:cs="Calibri" w:eastAsia="Calibri" w:hAnsi="Calibri"/>
          <w:sz w:val="22"/>
          <w:szCs w:val="22"/>
        </w:rPr>
        <w:t xml:space="preserve"> OBP will support configuration of AWS Partner Revenue Measurement attribution for each Registered Client's channel, to the extent that configuration is within OBP's control. Where configuration requires action by Automatum, the Registered Client or AWS, OBP's obligation is to specify what is required and to verify the result once done.</w:t>
      </w:r>
    </w:p>
    <w:p>
      <w:pPr>
        <w:spacing w:after="160" w:before="0" w:line="276"/>
        <w:jc w:val="both"/>
      </w:pPr>
      <w:r>
        <w:rPr>
          <w:rFonts w:ascii="Calibri" w:cs="Calibri" w:eastAsia="Calibri" w:hAnsi="Calibri"/>
          <w:b/>
          <w:bCs/>
          <w:sz w:val="22"/>
          <w:szCs w:val="22"/>
        </w:rPr>
        <w:t xml:space="preserve">5.11 ACE submissions.</w:t>
      </w:r>
      <w:r>
        <w:rPr>
          <w:rFonts w:ascii="Calibri" w:cs="Calibri" w:eastAsia="Calibri" w:hAnsi="Calibri"/>
          <w:sz w:val="22"/>
          <w:szCs w:val="22"/>
        </w:rPr>
        <w:t xml:space="preserve"> OBP will file partner-sourced opportunities to ACE under the APN account designated in Schedule 8, and not under any other account. OBP will track partner-sourced opportunities distinctly from any baseline quota, and will not submit an opportunity it knows or ought reasonably to know to be inaccurate.</w:t>
      </w:r>
    </w:p>
    <w:p>
      <w:pPr>
        <w:spacing w:after="160" w:before="0" w:line="276"/>
        <w:jc w:val="both"/>
      </w:pPr>
      <w:r>
        <w:rPr>
          <w:rFonts w:ascii="Calibri" w:cs="Calibri" w:eastAsia="Calibri" w:hAnsi="Calibri"/>
          <w:b/>
          <w:bCs/>
          <w:sz w:val="22"/>
          <w:szCs w:val="22"/>
        </w:rPr>
        <w:t xml:space="preserve">5.12 Reporting.</w:t>
      </w:r>
      <w:r>
        <w:rPr>
          <w:rFonts w:ascii="Calibri" w:cs="Calibri" w:eastAsia="Calibri" w:hAnsi="Calibri"/>
          <w:sz w:val="22"/>
          <w:szCs w:val="22"/>
        </w:rPr>
        <w:t xml:space="preserve"> OBP will deliver the monthly reporting pack described in Schedule 4 within five (5) Business Days of each month end, in the Automatum Brand and in a form Automatum can pass to the Registered Client without alteration.</w:t>
      </w:r>
    </w:p>
    <w:p>
      <w:pPr>
        <w:spacing w:after="160" w:before="0" w:line="276"/>
        <w:jc w:val="both"/>
      </w:pPr>
      <w:r>
        <w:rPr>
          <w:rFonts w:ascii="Calibri" w:cs="Calibri" w:eastAsia="Calibri" w:hAnsi="Calibri"/>
          <w:b/>
          <w:bCs/>
          <w:sz w:val="22"/>
          <w:szCs w:val="22"/>
        </w:rPr>
        <w:t xml:space="preserve">5.13 First line of support.</w:t>
      </w:r>
      <w:r>
        <w:rPr>
          <w:rFonts w:ascii="Calibri" w:cs="Calibri" w:eastAsia="Calibri" w:hAnsi="Calibri"/>
          <w:sz w:val="22"/>
          <w:szCs w:val="22"/>
        </w:rPr>
        <w:t xml:space="preserve"> OBP is first line of support for the channel, the deal desk and the PSR, through the personnel named under clause 9, routed through the single Automatum-branded intake described in Schedule 3.</w:t>
      </w:r>
    </w:p>
    <w:p>
      <w:pPr>
        <w:spacing w:after="160" w:before="0" w:line="276"/>
        <w:jc w:val="both"/>
      </w:pPr>
      <w:r>
        <w:rPr>
          <w:rFonts w:ascii="Calibri" w:cs="Calibri" w:eastAsia="Calibri" w:hAnsi="Calibri"/>
          <w:b/>
          <w:bCs/>
          <w:sz w:val="22"/>
          <w:szCs w:val="22"/>
        </w:rPr>
        <w:t xml:space="preserve">5.14 Compliance with instructions.</w:t>
      </w:r>
      <w:r>
        <w:rPr>
          <w:rFonts w:ascii="Calibri" w:cs="Calibri" w:eastAsia="Calibri" w:hAnsi="Calibri"/>
          <w:sz w:val="22"/>
          <w:szCs w:val="22"/>
        </w:rPr>
        <w:t xml:space="preserve"> OBP will comply with Automatum's reasonable written instructions relating to the Services, except where compliance would breach this Agreement, any AWS Program Term or any applicable law. OBP will notify Automatum promptly if it reasonably believes an instruction would have that effect.</w:t>
      </w:r>
    </w:p>
    <w:p>
      <w:pPr>
        <w:spacing w:after="160" w:before="0" w:line="276"/>
        <w:jc w:val="both"/>
      </w:pPr>
      <w:r>
        <w:rPr>
          <w:rFonts w:ascii="Calibri" w:cs="Calibri" w:eastAsia="Calibri" w:hAnsi="Calibri"/>
          <w:b/>
          <w:bCs/>
          <w:sz w:val="22"/>
          <w:szCs w:val="22"/>
        </w:rPr>
        <w:t xml:space="preserve">5.15 Subcontracting.</w:t>
      </w:r>
      <w:r>
        <w:rPr>
          <w:rFonts w:ascii="Calibri" w:cs="Calibri" w:eastAsia="Calibri" w:hAnsi="Calibri"/>
          <w:sz w:val="22"/>
          <w:szCs w:val="22"/>
        </w:rPr>
        <w:t xml:space="preserve"> OBP may subcontract parts of the Services only to subcontractors approved in writing by Automatum, and remains fully liable for its subcontractors' acts and omissions as if they were its own. OBP may not subcontract any role named under clause 9.</w:t>
      </w:r>
    </w:p>
    <w:p>
      <w:pPr>
        <w:pStyle w:val="Heading2"/>
        <w:keepNext/>
        <w:spacing w:after="140" w:before="300"/>
      </w:pPr>
      <w:r>
        <w:rPr>
          <w:rFonts w:ascii="Calibri" w:cs="Calibri" w:eastAsia="Calibri" w:hAnsi="Calibri"/>
          <w:b/>
          <w:bCs/>
          <w:sz w:val="24"/>
          <w:szCs w:val="24"/>
        </w:rPr>
        <w:t xml:space="preserve">6. Automatum Retained Obligations</w:t>
      </w:r>
    </w:p>
    <w:p>
      <w:pPr>
        <w:spacing w:after="160" w:before="0" w:line="276"/>
        <w:jc w:val="both"/>
      </w:pPr>
      <w:r>
        <w:rPr>
          <w:rFonts w:ascii="Calibri" w:cs="Calibri" w:eastAsia="Calibri" w:hAnsi="Calibri"/>
          <w:b/>
          <w:bCs/>
          <w:sz w:val="22"/>
          <w:szCs w:val="22"/>
        </w:rPr>
        <w:t xml:space="preserve">6.1 Listing and seller of record.</w:t>
      </w:r>
      <w:r>
        <w:rPr>
          <w:rFonts w:ascii="Calibri" w:cs="Calibri" w:eastAsia="Calibri" w:hAnsi="Calibri"/>
          <w:sz w:val="22"/>
          <w:szCs w:val="22"/>
        </w:rPr>
        <w:t xml:space="preserve"> Automatum will maintain its AWS Marketplace listing and its seller of record registration, and will maintain the AWS Partner Network status and entitlements required to issue private offers, CPPOs and Selling Authorizations.</w:t>
      </w:r>
    </w:p>
    <w:p>
      <w:pPr>
        <w:spacing w:after="160" w:before="0" w:line="276"/>
        <w:jc w:val="both"/>
      </w:pPr>
      <w:r>
        <w:rPr>
          <w:rFonts w:ascii="Calibri" w:cs="Calibri" w:eastAsia="Calibri" w:hAnsi="Calibri"/>
          <w:b/>
          <w:bCs/>
          <w:sz w:val="22"/>
          <w:szCs w:val="22"/>
        </w:rPr>
        <w:t xml:space="preserve">6.2 AWS relationship.</w:t>
      </w:r>
      <w:r>
        <w:rPr>
          <w:rFonts w:ascii="Calibri" w:cs="Calibri" w:eastAsia="Calibri" w:hAnsi="Calibri"/>
          <w:sz w:val="22"/>
          <w:szCs w:val="22"/>
        </w:rPr>
        <w:t xml:space="preserve"> Automatum owns the relationship with AWS in respect of the listing, the Solution and the AWS Business Outcomes Xcelerator submission, including obtaining the confirmation described in clause 14.2.</w:t>
      </w:r>
    </w:p>
    <w:p>
      <w:pPr>
        <w:spacing w:after="160" w:before="0" w:line="276"/>
        <w:jc w:val="both"/>
      </w:pPr>
      <w:r>
        <w:rPr>
          <w:rFonts w:ascii="Calibri" w:cs="Calibri" w:eastAsia="Calibri" w:hAnsi="Calibri"/>
          <w:b/>
          <w:bCs/>
          <w:sz w:val="22"/>
          <w:szCs w:val="22"/>
        </w:rPr>
        <w:t xml:space="preserve">6.3 Issuance.</w:t>
      </w:r>
      <w:r>
        <w:rPr>
          <w:rFonts w:ascii="Calibri" w:cs="Calibri" w:eastAsia="Calibri" w:hAnsi="Calibri"/>
          <w:sz w:val="22"/>
          <w:szCs w:val="22"/>
        </w:rPr>
        <w:t xml:space="preserve"> Automatum will issue private offers, CPPOs and Selling Authorizations promptly on receipt of an Issuance-Ready Package or a Selling Authorization request from OBP, and in any event within the Automatum leg of the applicable service level in Schedule 4.</w:t>
      </w:r>
    </w:p>
    <w:p>
      <w:pPr>
        <w:spacing w:after="160" w:before="0" w:line="276"/>
        <w:jc w:val="both"/>
      </w:pPr>
      <w:r>
        <w:rPr>
          <w:rFonts w:ascii="Calibri" w:cs="Calibri" w:eastAsia="Calibri" w:hAnsi="Calibri"/>
          <w:b/>
          <w:bCs/>
          <w:sz w:val="22"/>
          <w:szCs w:val="22"/>
        </w:rPr>
        <w:t xml:space="preserve">6.4 Client contracting and collection.</w:t>
      </w:r>
      <w:r>
        <w:rPr>
          <w:rFonts w:ascii="Calibri" w:cs="Calibri" w:eastAsia="Calibri" w:hAnsi="Calibri"/>
          <w:sz w:val="22"/>
          <w:szCs w:val="22"/>
        </w:rPr>
        <w:t xml:space="preserve"> Automatum will contract with each Client, invoice the Client Fees, and pursue collection, in accordance with clause 11.</w:t>
      </w:r>
    </w:p>
    <w:p>
      <w:pPr>
        <w:spacing w:after="160" w:before="0" w:line="276"/>
        <w:jc w:val="both"/>
      </w:pPr>
      <w:r>
        <w:rPr>
          <w:rFonts w:ascii="Calibri" w:cs="Calibri" w:eastAsia="Calibri" w:hAnsi="Calibri"/>
          <w:b/>
          <w:bCs/>
          <w:sz w:val="22"/>
          <w:szCs w:val="22"/>
        </w:rPr>
        <w:t xml:space="preserve">6.5 No-worse-than covenant.</w:t>
      </w:r>
      <w:r>
        <w:rPr>
          <w:rFonts w:ascii="Calibri" w:cs="Calibri" w:eastAsia="Calibri" w:hAnsi="Calibri"/>
          <w:sz w:val="22"/>
          <w:szCs w:val="22"/>
        </w:rPr>
        <w:t xml:space="preserve"> Automatum warrants that no Client Agreement for a Registered Client will contain, in respect of services OBP performs:</w:t>
      </w:r>
    </w:p>
    <w:p>
      <w:pPr>
        <w:spacing w:after="80" w:before="60" w:line="276"/>
        <w:ind w:left="780" w:hanging="360"/>
      </w:pPr>
      <w:r>
        <w:rPr>
          <w:rFonts w:ascii="Calibri" w:cs="Calibri" w:eastAsia="Calibri" w:hAnsi="Calibri"/>
          <w:sz w:val="22"/>
          <w:szCs w:val="22"/>
        </w:rPr>
        <w:t xml:space="preserve">a.	a service level stricter than the corresponding service level in Schedule 4;</w:t>
      </w:r>
    </w:p>
    <w:p>
      <w:pPr>
        <w:spacing w:after="80" w:before="60" w:line="276"/>
        <w:ind w:left="780" w:hanging="360"/>
      </w:pPr>
      <w:r>
        <w:rPr>
          <w:rFonts w:ascii="Calibri" w:cs="Calibri" w:eastAsia="Calibri" w:hAnsi="Calibri"/>
          <w:sz w:val="22"/>
          <w:szCs w:val="22"/>
        </w:rPr>
        <w:t xml:space="preserve">b.	a service credit percentage or at-risk amount exceeding the caps in Schedule 4;</w:t>
      </w:r>
    </w:p>
    <w:p>
      <w:pPr>
        <w:spacing w:after="80" w:before="60" w:line="276"/>
        <w:ind w:left="780" w:hanging="360"/>
      </w:pPr>
      <w:r>
        <w:rPr>
          <w:rFonts w:ascii="Calibri" w:cs="Calibri" w:eastAsia="Calibri" w:hAnsi="Calibri"/>
          <w:sz w:val="22"/>
          <w:szCs w:val="22"/>
        </w:rPr>
        <w:t xml:space="preserve">c.	a guaranteed partner number, transaction volume, revenue outcome or activation rate; or</w:t>
      </w:r>
    </w:p>
    <w:p>
      <w:pPr>
        <w:spacing w:after="80" w:before="60" w:line="276"/>
        <w:ind w:left="780" w:hanging="360"/>
      </w:pPr>
      <w:r>
        <w:rPr>
          <w:rFonts w:ascii="Calibri" w:cs="Calibri" w:eastAsia="Calibri" w:hAnsi="Calibri"/>
          <w:sz w:val="22"/>
          <w:szCs w:val="22"/>
        </w:rPr>
        <w:t xml:space="preserve">d.	a metric definition inconsistent with Schedule 4.</w:t>
      </w:r>
    </w:p>
    <w:p>
      <w:pPr>
        <w:spacing w:after="160" w:before="0" w:line="276"/>
        <w:jc w:val="both"/>
      </w:pPr>
      <w:r>
        <w:rPr>
          <w:rFonts w:ascii="Calibri" w:cs="Calibri" w:eastAsia="Calibri" w:hAnsi="Calibri"/>
          <w:sz w:val="22"/>
          <w:szCs w:val="22"/>
        </w:rPr>
        <w:t xml:space="preserve">Anything Automatum agrees with a Client beyond this baseline is Automatum's own risk, is excluded from the flow-down in clause 8.4, and does not increase OBP's obligations. This covenant is the consideration for the full flow-down in clause 8.4.</w:t>
      </w:r>
    </w:p>
    <w:p>
      <w:pPr>
        <w:spacing w:after="160" w:before="0" w:line="276"/>
        <w:jc w:val="both"/>
      </w:pPr>
      <w:r>
        <w:rPr>
          <w:rFonts w:ascii="Calibri" w:cs="Calibri" w:eastAsia="Calibri" w:hAnsi="Calibri"/>
          <w:b/>
          <w:bCs/>
          <w:sz w:val="22"/>
          <w:szCs w:val="22"/>
        </w:rPr>
        <w:t xml:space="preserve">6.6 No onward commitments.</w:t>
      </w:r>
      <w:r>
        <w:rPr>
          <w:rFonts w:ascii="Calibri" w:cs="Calibri" w:eastAsia="Calibri" w:hAnsi="Calibri"/>
          <w:sz w:val="22"/>
          <w:szCs w:val="22"/>
        </w:rPr>
        <w:t xml:space="preserve"> Automatum will not make any representation, warranty or commitment to a Client or a prospective Client about the Services, the Solution, partner numbers, offer issuance or any metric that goes beyond Schedule 1 and Schedule 4. Automatum indemnifies OBP under clause 20.2 for claims arising from any such excess.</w:t>
      </w:r>
    </w:p>
    <w:p>
      <w:pPr>
        <w:spacing w:after="160" w:before="0" w:line="276"/>
        <w:jc w:val="both"/>
      </w:pPr>
      <w:r>
        <w:rPr>
          <w:rFonts w:ascii="Calibri" w:cs="Calibri" w:eastAsia="Calibri" w:hAnsi="Calibri"/>
          <w:b/>
          <w:bCs/>
          <w:sz w:val="22"/>
          <w:szCs w:val="22"/>
        </w:rPr>
        <w:t xml:space="preserve">6.7 Relief Events.</w:t>
      </w:r>
      <w:r>
        <w:rPr>
          <w:rFonts w:ascii="Calibri" w:cs="Calibri" w:eastAsia="Calibri" w:hAnsi="Calibri"/>
          <w:sz w:val="22"/>
          <w:szCs w:val="22"/>
        </w:rPr>
        <w:t xml:space="preserve"> Each of the following is a "Relief Event": Automatum's failure to perform clause 6.1, 6.2 or 6.3; Automatum's loss of its listing, seller of record position or AWS Partner Network entitlements; a Registered Client's failure to perform an obligation on which OBP's performance depends; and any matter described in clause 14.3. On a Relief Event, OBP is excused from the affected obligation and the affected service levels do not run, for so long as the Relief Event continues, and OBP Service Revenue continues to accrue. OBP will notify Automatum of a Relief Event promptly on becoming aware of it and will use reasonable efforts to mitigate its effect.</w:t>
      </w:r>
    </w:p>
    <w:p>
      <w:pPr>
        <w:pStyle w:val="Heading2"/>
        <w:keepNext/>
        <w:spacing w:after="140" w:before="300"/>
      </w:pPr>
      <w:r>
        <w:rPr>
          <w:rFonts w:ascii="Calibri" w:cs="Calibri" w:eastAsia="Calibri" w:hAnsi="Calibri"/>
          <w:b/>
          <w:bCs/>
          <w:sz w:val="24"/>
          <w:szCs w:val="24"/>
        </w:rPr>
        <w:t xml:space="preserve">7. White Label and Brand</w:t>
      </w:r>
    </w:p>
    <w:p>
      <w:pPr>
        <w:spacing w:after="160" w:before="0" w:line="276"/>
        <w:jc w:val="both"/>
      </w:pPr>
      <w:r>
        <w:rPr>
          <w:rFonts w:ascii="Calibri" w:cs="Calibri" w:eastAsia="Calibri" w:hAnsi="Calibri"/>
          <w:b/>
          <w:bCs/>
          <w:sz w:val="22"/>
          <w:szCs w:val="22"/>
        </w:rPr>
        <w:t xml:space="preserve">7.1 Brand licence.</w:t>
      </w:r>
      <w:r>
        <w:rPr>
          <w:rFonts w:ascii="Calibri" w:cs="Calibri" w:eastAsia="Calibri" w:hAnsi="Calibri"/>
          <w:sz w:val="22"/>
          <w:szCs w:val="22"/>
        </w:rPr>
        <w:t xml:space="preserve"> Automatum grants OBP a non-exclusive, non-transferable, royalty-free licence during the Term to use the Automatum Brand solely to perform the Services in accordance with Schedule 3. OBP acquires no other rights in the Automatum Brand and all goodwill in it accrues to Automatum.</w:t>
      </w:r>
    </w:p>
    <w:p>
      <w:pPr>
        <w:spacing w:after="160" w:before="0" w:line="276"/>
        <w:jc w:val="both"/>
      </w:pPr>
      <w:r>
        <w:rPr>
          <w:rFonts w:ascii="Calibri" w:cs="Calibri" w:eastAsia="Calibri" w:hAnsi="Calibri"/>
          <w:b/>
          <w:bCs/>
          <w:sz w:val="22"/>
          <w:szCs w:val="22"/>
        </w:rPr>
        <w:t xml:space="preserve">7.2 Delivery under the Automatum Brand.</w:t>
      </w:r>
      <w:r>
        <w:rPr>
          <w:rFonts w:ascii="Calibri" w:cs="Calibri" w:eastAsia="Calibri" w:hAnsi="Calibri"/>
          <w:sz w:val="22"/>
          <w:szCs w:val="22"/>
        </w:rPr>
        <w:t xml:space="preserve"> OBP will perform all client-facing and partner-facing elements of the Services under the Automatum Brand, using Automatum-supplied email addresses and domains, Automatum-branded documents, portals and correspondence, and the communication protocol in Schedule 3.</w:t>
      </w:r>
    </w:p>
    <w:p>
      <w:pPr>
        <w:spacing w:after="160" w:before="0" w:line="276"/>
        <w:jc w:val="both"/>
      </w:pPr>
      <w:r>
        <w:rPr>
          <w:rFonts w:ascii="Calibri" w:cs="Calibri" w:eastAsia="Calibri" w:hAnsi="Calibri"/>
          <w:b/>
          <w:bCs/>
          <w:sz w:val="22"/>
          <w:szCs w:val="22"/>
        </w:rPr>
        <w:t xml:space="preserve">7.3 No OBP branding.</w:t>
      </w:r>
      <w:r>
        <w:rPr>
          <w:rFonts w:ascii="Calibri" w:cs="Calibri" w:eastAsia="Calibri" w:hAnsi="Calibri"/>
          <w:sz w:val="22"/>
          <w:szCs w:val="22"/>
        </w:rPr>
        <w:t xml:space="preserve"> OBP will not use its own name, logos, marks, domains, email addresses, templates or contact details in any client-facing or partner-facing material or communication, and will not identify itself to a Client or a Recruited Partner as the provider of the Services, except as clause 7.5 permits.</w:t>
      </w:r>
    </w:p>
    <w:p>
      <w:pPr>
        <w:spacing w:after="160" w:before="0" w:line="276"/>
        <w:jc w:val="both"/>
      </w:pPr>
      <w:r>
        <w:rPr>
          <w:rFonts w:ascii="Calibri" w:cs="Calibri" w:eastAsia="Calibri" w:hAnsi="Calibri"/>
          <w:b/>
          <w:bCs/>
          <w:sz w:val="22"/>
          <w:szCs w:val="22"/>
        </w:rPr>
        <w:t xml:space="preserve">7.4 No direct client contact.</w:t>
      </w:r>
      <w:r>
        <w:rPr>
          <w:rFonts w:ascii="Calibri" w:cs="Calibri" w:eastAsia="Calibri" w:hAnsi="Calibri"/>
          <w:sz w:val="22"/>
          <w:szCs w:val="22"/>
        </w:rPr>
        <w:t xml:space="preserve"> OBP will not contact a Registered Client outside the channels and in the personas established under Schedule 3, and will not contact a Registered Client at all in relation to a dispute between the Parties, including any dispute about payment.</w:t>
      </w:r>
    </w:p>
    <w:p>
      <w:pPr>
        <w:spacing w:after="160" w:before="0" w:line="276"/>
        <w:jc w:val="both"/>
      </w:pPr>
      <w:r>
        <w:rPr>
          <w:rFonts w:ascii="Calibri" w:cs="Calibri" w:eastAsia="Calibri" w:hAnsi="Calibri"/>
          <w:b/>
          <w:bCs/>
          <w:sz w:val="22"/>
          <w:szCs w:val="22"/>
        </w:rPr>
        <w:t xml:space="preserve">7.5 Permitted disclosure.</w:t>
      </w:r>
      <w:r>
        <w:rPr>
          <w:rFonts w:ascii="Calibri" w:cs="Calibri" w:eastAsia="Calibri" w:hAnsi="Calibri"/>
          <w:sz w:val="22"/>
          <w:szCs w:val="22"/>
        </w:rPr>
        <w:t xml:space="preserve"> OBP may disclose its role where disclosure is required by law, by a regulator, by an AWS Program Term, or by the terms of a Client Agreement that Automatum has notified to OBP in writing. OBP will give Automatum reasonable advance notice where it lawfully can.</w:t>
      </w:r>
    </w:p>
    <w:p>
      <w:pPr>
        <w:spacing w:after="160" w:before="0" w:line="276"/>
        <w:jc w:val="both"/>
      </w:pPr>
      <w:r>
        <w:rPr>
          <w:rFonts w:ascii="Calibri" w:cs="Calibri" w:eastAsia="Calibri" w:hAnsi="Calibri"/>
          <w:b/>
          <w:bCs/>
          <w:sz w:val="22"/>
          <w:szCs w:val="22"/>
        </w:rPr>
        <w:t xml:space="preserve">7.6 Employment status.</w:t>
      </w:r>
      <w:r>
        <w:rPr>
          <w:rFonts w:ascii="Calibri" w:cs="Calibri" w:eastAsia="Calibri" w:hAnsi="Calibri"/>
          <w:sz w:val="22"/>
          <w:szCs w:val="22"/>
        </w:rPr>
        <w:t xml:space="preserve"> OBP is the sole employer of its personnel. Automatum does not direct, supervise or control the manner in which OBP's personnel perform the Services and will not purport to do so. Notwithstanding clause 7.2, OBP's personnel will not state or imply that they are employed by Automatum; Schedule 3 states what they may and may not say about their employment. Each Party will implement the measures in Schedule 3 designed to prevent a finding of joint employment or co-employment arising from the white label arrangement.</w:t>
      </w:r>
    </w:p>
    <w:p>
      <w:pPr>
        <w:spacing w:after="160" w:before="0" w:line="276"/>
        <w:jc w:val="both"/>
      </w:pPr>
      <w:r>
        <w:rPr>
          <w:rFonts w:ascii="Calibri" w:cs="Calibri" w:eastAsia="Calibri" w:hAnsi="Calibri"/>
          <w:b/>
          <w:bCs/>
          <w:sz w:val="22"/>
          <w:szCs w:val="22"/>
        </w:rPr>
        <w:t xml:space="preserve">7.7 No publicity.</w:t>
      </w:r>
      <w:r>
        <w:rPr>
          <w:rFonts w:ascii="Calibri" w:cs="Calibri" w:eastAsia="Calibri" w:hAnsi="Calibri"/>
          <w:sz w:val="22"/>
          <w:szCs w:val="22"/>
        </w:rPr>
        <w:t xml:space="preserve"> Neither Party will refer to the other, to this Agreement, to any Registered Client or to any Recruited Partner in any marketing material, case study, press release, website, pitch or public statement without the other Party's prior written consent.</w:t>
      </w:r>
    </w:p>
    <w:p>
      <w:pPr>
        <w:spacing w:after="160" w:before="0" w:line="276"/>
        <w:jc w:val="both"/>
      </w:pPr>
      <w:r>
        <w:rPr>
          <w:rFonts w:ascii="Calibri" w:cs="Calibri" w:eastAsia="Calibri" w:hAnsi="Calibri"/>
          <w:b/>
          <w:bCs/>
          <w:sz w:val="22"/>
          <w:szCs w:val="22"/>
        </w:rPr>
        <w:t xml:space="preserve">7.8 Automatum's own conduct.</w:t>
      </w:r>
      <w:r>
        <w:rPr>
          <w:rFonts w:ascii="Calibri" w:cs="Calibri" w:eastAsia="Calibri" w:hAnsi="Calibri"/>
          <w:sz w:val="22"/>
          <w:szCs w:val="22"/>
        </w:rPr>
        <w:t xml:space="preserve"> Automatum will not disclose OBP's role to a Client or a Recruited Partner except as required by law, by a regulator, by an AWS Program Term or by a Client Agreement.</w:t>
      </w:r>
    </w:p>
    <w:p>
      <w:pPr>
        <w:pStyle w:val="Heading2"/>
        <w:keepNext/>
        <w:spacing w:after="140" w:before="300"/>
      </w:pPr>
      <w:r>
        <w:rPr>
          <w:rFonts w:ascii="Calibri" w:cs="Calibri" w:eastAsia="Calibri" w:hAnsi="Calibri"/>
          <w:b/>
          <w:bCs/>
          <w:sz w:val="24"/>
          <w:szCs w:val="24"/>
        </w:rPr>
        <w:t xml:space="preserve">8. Service Levels and Service Credits</w:t>
      </w:r>
    </w:p>
    <w:p>
      <w:pPr>
        <w:spacing w:after="160" w:before="0" w:line="276"/>
        <w:jc w:val="both"/>
      </w:pPr>
      <w:r>
        <w:rPr>
          <w:rFonts w:ascii="Calibri" w:cs="Calibri" w:eastAsia="Calibri" w:hAnsi="Calibri"/>
          <w:b/>
          <w:bCs/>
          <w:sz w:val="22"/>
          <w:szCs w:val="22"/>
        </w:rPr>
        <w:t xml:space="preserve">8.1 Service levels.</w:t>
      </w:r>
      <w:r>
        <w:rPr>
          <w:rFonts w:ascii="Calibri" w:cs="Calibri" w:eastAsia="Calibri" w:hAnsi="Calibri"/>
          <w:sz w:val="22"/>
          <w:szCs w:val="22"/>
        </w:rPr>
        <w:t xml:space="preserve"> OBP will meet the service levels in Schedule 4 for the applicable Tier. Schedule 4 states, for each service level, what starts and stops the clock, the measurement source, and the division of the measured period between the OBP leg and the Automatum leg.</w:t>
      </w:r>
    </w:p>
    <w:p>
      <w:pPr>
        <w:spacing w:after="160" w:before="0" w:line="276"/>
        <w:jc w:val="both"/>
      </w:pPr>
      <w:r>
        <w:rPr>
          <w:rFonts w:ascii="Calibri" w:cs="Calibri" w:eastAsia="Calibri" w:hAnsi="Calibri"/>
          <w:b/>
          <w:bCs/>
          <w:sz w:val="22"/>
          <w:szCs w:val="22"/>
        </w:rPr>
        <w:t xml:space="preserve">8.2 Split legs.</w:t>
      </w:r>
      <w:r>
        <w:rPr>
          <w:rFonts w:ascii="Calibri" w:cs="Calibri" w:eastAsia="Calibri" w:hAnsi="Calibri"/>
          <w:sz w:val="22"/>
          <w:szCs w:val="22"/>
        </w:rPr>
        <w:t xml:space="preserve"> Because Automatum issues offers and Selling Authorizations as seller of record, the deal desk and Selling Authorization service levels are measured in two legs. OBP is responsible only for the OBP leg. A failure of the Automatum leg is not OBP's failure and does not give rise to a flow-down under clause 8.4. Where a root cause analysis is genuinely inconclusive as between the legs, responsibility is apportioned equally and either Party may escalate under clause 26.2.</w:t>
      </w:r>
    </w:p>
    <w:p>
      <w:pPr>
        <w:spacing w:after="160" w:before="0" w:line="276"/>
        <w:jc w:val="both"/>
      </w:pPr>
      <w:r>
        <w:rPr>
          <w:rFonts w:ascii="Calibri" w:cs="Calibri" w:eastAsia="Calibri" w:hAnsi="Calibri"/>
          <w:b/>
          <w:bCs/>
          <w:sz w:val="22"/>
          <w:szCs w:val="22"/>
        </w:rPr>
        <w:t xml:space="preserve">8.3 Excused events.</w:t>
      </w:r>
      <w:r>
        <w:rPr>
          <w:rFonts w:ascii="Calibri" w:cs="Calibri" w:eastAsia="Calibri" w:hAnsi="Calibri"/>
          <w:sz w:val="22"/>
          <w:szCs w:val="22"/>
        </w:rPr>
        <w:t xml:space="preserve"> A service level does not run, and no failure occurs, to the extent the delay is caused by a Relief Event, a Force Majeure Event, an incomplete or non-conforming Deal Desk Request, a Recruited Partner's failure to complete AWS registration, tax, banking or service-linked role requirements, a Registered Client's act or omission, or an act or omission of AWS. A change in OBP's personnel is </w:t>
      </w:r>
      <w:r>
        <w:rPr>
          <w:rFonts w:ascii="Calibri" w:cs="Calibri" w:eastAsia="Calibri" w:hAnsi="Calibri"/>
          <w:b/>
          <w:bCs/>
          <w:sz w:val="22"/>
          <w:szCs w:val="22"/>
        </w:rPr>
        <w:t xml:space="preserve">not</w:t>
      </w:r>
      <w:r>
        <w:rPr>
          <w:rFonts w:ascii="Calibri" w:cs="Calibri" w:eastAsia="Calibri" w:hAnsi="Calibri"/>
          <w:sz w:val="22"/>
          <w:szCs w:val="22"/>
        </w:rPr>
        <w:t xml:space="preserve"> an excused event and service levels continue to run through any replacement under clause 9.</w:t>
      </w:r>
    </w:p>
    <w:p>
      <w:pPr>
        <w:spacing w:after="160" w:before="0" w:line="276"/>
        <w:jc w:val="both"/>
      </w:pPr>
      <w:r>
        <w:rPr>
          <w:rFonts w:ascii="Calibri" w:cs="Calibri" w:eastAsia="Calibri" w:hAnsi="Calibri"/>
          <w:b/>
          <w:bCs/>
          <w:sz w:val="22"/>
          <w:szCs w:val="22"/>
        </w:rPr>
        <w:t xml:space="preserve">8.4 Flow-down of Service Credits.</w:t>
      </w:r>
      <w:r>
        <w:rPr>
          <w:rFonts w:ascii="Calibri" w:cs="Calibri" w:eastAsia="Calibri" w:hAnsi="Calibri"/>
          <w:sz w:val="22"/>
          <w:szCs w:val="22"/>
        </w:rPr>
        <w:t xml:space="preserve"> Where Automatum is required to give a Registered Client a Service Credit, Automatum may deduct the amount of that Service Credit from the next monthly OBP Service Revenue for that Registered Client, but only to the extent that:</w:t>
      </w:r>
    </w:p>
    <w:p>
      <w:pPr>
        <w:spacing w:after="80" w:before="60" w:line="276"/>
        <w:ind w:left="780" w:hanging="360"/>
      </w:pPr>
      <w:r>
        <w:rPr>
          <w:rFonts w:ascii="Calibri" w:cs="Calibri" w:eastAsia="Calibri" w:hAnsi="Calibri"/>
          <w:sz w:val="22"/>
          <w:szCs w:val="22"/>
        </w:rPr>
        <w:t xml:space="preserve">a.	the failure was a failure of the OBP leg and is attributable to OBP;</w:t>
      </w:r>
    </w:p>
    <w:p>
      <w:pPr>
        <w:spacing w:after="80" w:before="60" w:line="276"/>
        <w:ind w:left="780" w:hanging="360"/>
      </w:pPr>
      <w:r>
        <w:rPr>
          <w:rFonts w:ascii="Calibri" w:cs="Calibri" w:eastAsia="Calibri" w:hAnsi="Calibri"/>
          <w:sz w:val="22"/>
          <w:szCs w:val="22"/>
        </w:rPr>
        <w:t xml:space="preserve">b.	Automatum actually gave the Service Credit to the Client, and did not give it ex gratia, as a commercial concession, or in settlement of an unrelated matter, without OBP's prior written consent;</w:t>
      </w:r>
    </w:p>
    <w:p>
      <w:pPr>
        <w:spacing w:after="80" w:before="60" w:line="276"/>
        <w:ind w:left="780" w:hanging="360"/>
      </w:pPr>
      <w:r>
        <w:rPr>
          <w:rFonts w:ascii="Calibri" w:cs="Calibri" w:eastAsia="Calibri" w:hAnsi="Calibri"/>
          <w:sz w:val="22"/>
          <w:szCs w:val="22"/>
        </w:rPr>
        <w:t xml:space="preserve">c.	Automatum applied every exclusion, cap and excused event available to it under the Client Agreement; and</w:t>
      </w:r>
    </w:p>
    <w:p>
      <w:pPr>
        <w:spacing w:after="80" w:before="60" w:line="276"/>
        <w:ind w:left="780" w:hanging="360"/>
      </w:pPr>
      <w:r>
        <w:rPr>
          <w:rFonts w:ascii="Calibri" w:cs="Calibri" w:eastAsia="Calibri" w:hAnsi="Calibri"/>
          <w:sz w:val="22"/>
          <w:szCs w:val="22"/>
        </w:rPr>
        <w:t xml:space="preserve">d.	Automatum notified OBP of the Client's claim, with supporting evidence, within ten (10) Business Days of receiving it, and gave OBP a reasonable opportunity to comment.</w:t>
      </w:r>
    </w:p>
    <w:p>
      <w:pPr>
        <w:spacing w:after="160" w:before="0" w:line="276"/>
        <w:jc w:val="both"/>
      </w:pPr>
      <w:r>
        <w:rPr>
          <w:rFonts w:ascii="Calibri" w:cs="Calibri" w:eastAsia="Calibri" w:hAnsi="Calibri"/>
          <w:b/>
          <w:bCs/>
          <w:sz w:val="22"/>
          <w:szCs w:val="22"/>
        </w:rPr>
        <w:t xml:space="preserve">8.5 Caps on flow-down.</w:t>
      </w:r>
      <w:r>
        <w:rPr>
          <w:rFonts w:ascii="Calibri" w:cs="Calibri" w:eastAsia="Calibri" w:hAnsi="Calibri"/>
          <w:sz w:val="22"/>
          <w:szCs w:val="22"/>
        </w:rPr>
        <w:t xml:space="preserve"> The total amount deductible under clause 8.4 is capped at:</w:t>
      </w:r>
    </w:p>
    <w:p>
      <w:pPr>
        <w:spacing w:after="80" w:before="60" w:line="276"/>
        <w:ind w:left="780" w:hanging="360"/>
      </w:pPr>
      <w:r>
        <w:rPr>
          <w:rFonts w:ascii="Calibri" w:cs="Calibri" w:eastAsia="Calibri" w:hAnsi="Calibri"/>
          <w:sz w:val="22"/>
          <w:szCs w:val="22"/>
        </w:rPr>
        <w:t xml:space="preserve">a.	per Registered Client per Engagement Month, the lower of the Service Credit actually given and ten percent (10%) of that Client's gross monthly Client Fees, rising to twenty percent (20%) in a month in which two or more service levels are missed; and</w:t>
      </w:r>
    </w:p>
    <w:p>
      <w:pPr>
        <w:spacing w:after="80" w:before="60" w:line="276"/>
        <w:ind w:left="780" w:hanging="360"/>
      </w:pPr>
      <w:r>
        <w:rPr>
          <w:rFonts w:ascii="Calibri" w:cs="Calibri" w:eastAsia="Calibri" w:hAnsi="Calibri"/>
          <w:sz w:val="22"/>
          <w:szCs w:val="22"/>
        </w:rPr>
        <w:t xml:space="preserve">b.	per Registered Client per Engagement Year, fifteen percent (15%) of the OBP Service Revenue for that Client for that Engagement Year.</w:t>
      </w:r>
    </w:p>
    <w:p>
      <w:pPr>
        <w:spacing w:after="160" w:before="0" w:line="276"/>
        <w:jc w:val="both"/>
      </w:pPr>
      <w:r>
        <w:rPr>
          <w:rFonts w:ascii="Calibri" w:cs="Calibri" w:eastAsia="Calibri" w:hAnsi="Calibri"/>
          <w:b/>
          <w:bCs/>
          <w:sz w:val="22"/>
          <w:szCs w:val="22"/>
        </w:rPr>
        <w:t xml:space="preserve">8.6 Sole financial remedy.</w:t>
      </w:r>
      <w:r>
        <w:rPr>
          <w:rFonts w:ascii="Calibri" w:cs="Calibri" w:eastAsia="Calibri" w:hAnsi="Calibri"/>
          <w:sz w:val="22"/>
          <w:szCs w:val="22"/>
        </w:rPr>
        <w:t xml:space="preserve"> Subject to clause 8.7, the flow-down in clause 8.4 is Automatum's sole financial remedy for a failure to meet a service level.</w:t>
      </w:r>
    </w:p>
    <w:p>
      <w:pPr>
        <w:spacing w:after="160" w:before="0" w:line="276"/>
        <w:jc w:val="both"/>
      </w:pPr>
      <w:r>
        <w:rPr>
          <w:rFonts w:ascii="Calibri" w:cs="Calibri" w:eastAsia="Calibri" w:hAnsi="Calibri"/>
          <w:b/>
          <w:bCs/>
          <w:sz w:val="22"/>
          <w:szCs w:val="22"/>
        </w:rPr>
        <w:t xml:space="preserve">8.7 Chronic Failure.</w:t>
      </w:r>
      <w:r>
        <w:rPr>
          <w:rFonts w:ascii="Calibri" w:cs="Calibri" w:eastAsia="Calibri" w:hAnsi="Calibri"/>
          <w:sz w:val="22"/>
          <w:szCs w:val="22"/>
        </w:rPr>
        <w:t xml:space="preserve"> "Chronic Failure" means three (3) failures of the same service level in any rolling three (3) Engagement Months, or six (6) failures across any service levels in an Engagement Year, in each case for the same Registered Client and attributable to OBP. On a Chronic Failure, Automatum may require: a root cause analysis within five (5) Business Days; a written remediation plan within ten (10) Business Days; replacement of the personnel named under clause 9 for that Engagement; and, if the Chronic Failure is not remedied within thirty (30) days of the remediation plan, termination of the affected Engagement Order under clause 23.4 with transition assistance at OBP's cost under clause 24.</w:t>
      </w:r>
    </w:p>
    <w:p>
      <w:pPr>
        <w:pStyle w:val="Heading2"/>
        <w:keepNext/>
        <w:spacing w:after="140" w:before="300"/>
      </w:pPr>
      <w:r>
        <w:rPr>
          <w:rFonts w:ascii="Calibri" w:cs="Calibri" w:eastAsia="Calibri" w:hAnsi="Calibri"/>
          <w:b/>
          <w:bCs/>
          <w:sz w:val="24"/>
          <w:szCs w:val="24"/>
        </w:rPr>
        <w:t xml:space="preserve">9. Key Personnel</w:t>
      </w:r>
    </w:p>
    <w:p>
      <w:pPr>
        <w:spacing w:after="160" w:before="0" w:line="276"/>
        <w:jc w:val="both"/>
      </w:pPr>
      <w:r>
        <w:rPr>
          <w:rFonts w:ascii="Calibri" w:cs="Calibri" w:eastAsia="Calibri" w:hAnsi="Calibri"/>
          <w:b/>
          <w:bCs/>
          <w:sz w:val="22"/>
          <w:szCs w:val="22"/>
        </w:rPr>
        <w:t xml:space="preserve">9.1 Named roles.</w:t>
      </w:r>
      <w:r>
        <w:rPr>
          <w:rFonts w:ascii="Calibri" w:cs="Calibri" w:eastAsia="Calibri" w:hAnsi="Calibri"/>
          <w:sz w:val="22"/>
          <w:szCs w:val="22"/>
        </w:rPr>
        <w:t xml:space="preserve"> For each Engagement, OBP will name in the Engagement Order a Channel Manager, a Backup Channel Manager and, for a Tier 3 Engagement, a Deal Desk Owner with a stated coverage window. Each named role has the committed hours and coverage window stated in Schedule 7.</w:t>
      </w:r>
    </w:p>
    <w:p>
      <w:pPr>
        <w:spacing w:after="160" w:before="0" w:line="276"/>
        <w:jc w:val="both"/>
      </w:pPr>
      <w:r>
        <w:rPr>
          <w:rFonts w:ascii="Calibri" w:cs="Calibri" w:eastAsia="Calibri" w:hAnsi="Calibri"/>
          <w:b/>
          <w:bCs/>
          <w:sz w:val="22"/>
          <w:szCs w:val="22"/>
        </w:rPr>
        <w:t xml:space="preserve">9.2 Approval.</w:t>
      </w:r>
      <w:r>
        <w:rPr>
          <w:rFonts w:ascii="Calibri" w:cs="Calibri" w:eastAsia="Calibri" w:hAnsi="Calibri"/>
          <w:sz w:val="22"/>
          <w:szCs w:val="22"/>
        </w:rPr>
        <w:t xml:space="preserve"> Automatum approves initial appointees, such approval not to be unreasonably withheld, conditioned or delayed, and deemed given if Automatum does not object within five (5) Business Days of receiving the appointee's details.</w:t>
      </w:r>
    </w:p>
    <w:p>
      <w:pPr>
        <w:spacing w:after="160" w:before="0" w:line="276"/>
        <w:jc w:val="both"/>
      </w:pPr>
      <w:r>
        <w:rPr>
          <w:rFonts w:ascii="Calibri" w:cs="Calibri" w:eastAsia="Calibri" w:hAnsi="Calibri"/>
          <w:b/>
          <w:bCs/>
          <w:sz w:val="22"/>
          <w:szCs w:val="22"/>
        </w:rPr>
        <w:t xml:space="preserve">9.3 Minimum tenure.</w:t>
      </w:r>
      <w:r>
        <w:rPr>
          <w:rFonts w:ascii="Calibri" w:cs="Calibri" w:eastAsia="Calibri" w:hAnsi="Calibri"/>
          <w:sz w:val="22"/>
          <w:szCs w:val="22"/>
        </w:rPr>
        <w:t xml:space="preserve"> OBP will not voluntarily remove or reassign a named person for twelve (12) months or the remainder of the Engagement, whichever is shorter, except where the person resigns, dies, becomes incapacitated, takes statutory leave, is dismissed for cause, or is removed at Automatum's request.</w:t>
      </w:r>
    </w:p>
    <w:p>
      <w:pPr>
        <w:spacing w:after="160" w:before="0" w:line="276"/>
        <w:jc w:val="both"/>
      </w:pPr>
      <w:r>
        <w:rPr>
          <w:rFonts w:ascii="Calibri" w:cs="Calibri" w:eastAsia="Calibri" w:hAnsi="Calibri"/>
          <w:b/>
          <w:bCs/>
          <w:sz w:val="22"/>
          <w:szCs w:val="22"/>
        </w:rPr>
        <w:t xml:space="preserve">9.4 Replacement.</w:t>
      </w:r>
      <w:r>
        <w:rPr>
          <w:rFonts w:ascii="Calibri" w:cs="Calibri" w:eastAsia="Calibri" w:hAnsi="Calibri"/>
          <w:sz w:val="22"/>
          <w:szCs w:val="22"/>
        </w:rPr>
        <w:t xml:space="preserve"> OBP will notify Automatum within two (2) Business Days of becoming aware that a named person will cease to perform the role. The Backup Channel Manager assumes the role immediately. OBP will propose a replacement of equivalent or greater experience within ten (10) Business Days and will provide a ten (10) Business Day handover overlap at OBP's cost. Clause 8.3 applies: service levels continue to run throughout.</w:t>
      </w:r>
    </w:p>
    <w:p>
      <w:pPr>
        <w:spacing w:after="160" w:before="0" w:line="276"/>
        <w:jc w:val="both"/>
      </w:pPr>
      <w:r>
        <w:rPr>
          <w:rFonts w:ascii="Calibri" w:cs="Calibri" w:eastAsia="Calibri" w:hAnsi="Calibri"/>
          <w:b/>
          <w:bCs/>
          <w:sz w:val="22"/>
          <w:szCs w:val="22"/>
        </w:rPr>
        <w:t xml:space="preserve">9.5 Removal.</w:t>
      </w:r>
      <w:r>
        <w:rPr>
          <w:rFonts w:ascii="Calibri" w:cs="Calibri" w:eastAsia="Calibri" w:hAnsi="Calibri"/>
          <w:sz w:val="22"/>
          <w:szCs w:val="22"/>
        </w:rPr>
        <w:t xml:space="preserve"> Automatum may require OBP to remove a named person from an Engagement for material underperformance, misconduct, breach of Schedule 3, or repeated service level failures attributable to that person. Replacement is at OBP's cost. A request under this clause is a request to remove the person from the Engagement and is not a direction to dismiss or discipline; OBP remains solely responsible for all employment decisions.</w:t>
      </w:r>
    </w:p>
    <w:p>
      <w:pPr>
        <w:spacing w:after="160" w:before="0" w:line="276"/>
        <w:jc w:val="both"/>
      </w:pPr>
      <w:r>
        <w:rPr>
          <w:rFonts w:ascii="Calibri" w:cs="Calibri" w:eastAsia="Calibri" w:hAnsi="Calibri"/>
          <w:b/>
          <w:bCs/>
          <w:sz w:val="22"/>
          <w:szCs w:val="22"/>
        </w:rPr>
        <w:t xml:space="preserve">9.6 No dedication.</w:t>
      </w:r>
      <w:r>
        <w:rPr>
          <w:rFonts w:ascii="Calibri" w:cs="Calibri" w:eastAsia="Calibri" w:hAnsi="Calibri"/>
          <w:sz w:val="22"/>
          <w:szCs w:val="22"/>
        </w:rPr>
        <w:t xml:space="preserve"> Named personnel are assigned on a shared service basis and are not exclusively dedicated to an Engagement unless the Engagement Order says so.</w:t>
      </w:r>
    </w:p>
    <w:p>
      <w:pPr>
        <w:spacing w:after="160" w:before="0" w:line="276"/>
        <w:jc w:val="both"/>
      </w:pPr>
      <w:r>
        <w:rPr>
          <w:rFonts w:ascii="Calibri" w:cs="Calibri" w:eastAsia="Calibri" w:hAnsi="Calibri"/>
          <w:b/>
          <w:bCs/>
          <w:sz w:val="22"/>
          <w:szCs w:val="22"/>
        </w:rPr>
        <w:t xml:space="preserve">9.7 Capacity ratios.</w:t>
      </w:r>
      <w:r>
        <w:rPr>
          <w:rFonts w:ascii="Calibri" w:cs="Calibri" w:eastAsia="Calibri" w:hAnsi="Calibri"/>
          <w:sz w:val="22"/>
          <w:szCs w:val="22"/>
        </w:rPr>
        <w:t xml:space="preserve"> OBP will not exceed the accounts-per-owner ratios in Schedule 7, which weight Engagements by Tier. Exceeding a ratio is a breach of this Agreement whether or not a service level has been missed, and Automatum may require a remediation plan under clause 8.7 on that basis alone.</w:t>
      </w:r>
    </w:p>
    <w:p>
      <w:pPr>
        <w:spacing w:after="160" w:before="0" w:line="276"/>
        <w:jc w:val="both"/>
      </w:pPr>
      <w:r>
        <w:rPr>
          <w:rFonts w:ascii="Calibri" w:cs="Calibri" w:eastAsia="Calibri" w:hAnsi="Calibri"/>
          <w:b/>
          <w:bCs/>
          <w:sz w:val="22"/>
          <w:szCs w:val="22"/>
        </w:rPr>
        <w:t xml:space="preserve">9.8 Succession.</w:t>
      </w:r>
      <w:r>
        <w:rPr>
          <w:rFonts w:ascii="Calibri" w:cs="Calibri" w:eastAsia="Calibri" w:hAnsi="Calibri"/>
          <w:sz w:val="22"/>
          <w:szCs w:val="22"/>
        </w:rPr>
        <w:t xml:space="preserve"> OBP will maintain a documented succession plan for each named role, will cross-train the Backup Channel Manager, and will ensure that client and partner knowledge is recorded in the PSR rather than held only by individuals.</w:t>
      </w:r>
    </w:p>
    <w:p>
      <w:pPr>
        <w:pStyle w:val="Heading2"/>
        <w:keepNext/>
        <w:spacing w:after="140" w:before="300"/>
      </w:pPr>
      <w:r>
        <w:rPr>
          <w:rFonts w:ascii="Calibri" w:cs="Calibri" w:eastAsia="Calibri" w:hAnsi="Calibri"/>
          <w:b/>
          <w:bCs/>
          <w:sz w:val="24"/>
          <w:szCs w:val="24"/>
        </w:rPr>
        <w:t xml:space="preserve">10. Partner System of Record</w:t>
      </w:r>
    </w:p>
    <w:p>
      <w:pPr>
        <w:spacing w:after="160" w:before="0" w:line="276"/>
        <w:jc w:val="both"/>
      </w:pPr>
      <w:r>
        <w:rPr>
          <w:rFonts w:ascii="Calibri" w:cs="Calibri" w:eastAsia="Calibri" w:hAnsi="Calibri"/>
          <w:b/>
          <w:bCs/>
          <w:sz w:val="22"/>
          <w:szCs w:val="22"/>
        </w:rPr>
        <w:t xml:space="preserve">10.1 Provision.</w:t>
      </w:r>
      <w:r>
        <w:rPr>
          <w:rFonts w:ascii="Calibri" w:cs="Calibri" w:eastAsia="Calibri" w:hAnsi="Calibri"/>
          <w:sz w:val="22"/>
          <w:szCs w:val="22"/>
        </w:rPr>
        <w:t xml:space="preserve"> OBP will provide, configure, host and operate the PSR for each Engagement in accordance with Schedule 5, within the OBP Service Revenue.</w:t>
      </w:r>
    </w:p>
    <w:p>
      <w:pPr>
        <w:spacing w:after="160" w:before="0" w:line="276"/>
        <w:jc w:val="both"/>
      </w:pPr>
      <w:r>
        <w:rPr>
          <w:rFonts w:ascii="Calibri" w:cs="Calibri" w:eastAsia="Calibri" w:hAnsi="Calibri"/>
          <w:b/>
          <w:bCs/>
          <w:sz w:val="22"/>
          <w:szCs w:val="22"/>
        </w:rPr>
        <w:t xml:space="preserve">10.2 Rights warranty.</w:t>
      </w:r>
      <w:r>
        <w:rPr>
          <w:rFonts w:ascii="Calibri" w:cs="Calibri" w:eastAsia="Calibri" w:hAnsi="Calibri"/>
          <w:sz w:val="22"/>
          <w:szCs w:val="22"/>
        </w:rPr>
        <w:t xml:space="preserve"> OBP warrants that it holds all rights necessary to provide and operate the PSR as contemplated by this Agreement, including the right to present it under the Automatum Brand and to grant the access and licences in this clause 10, and that the term of its own licence from the PSR vendor extends beyond the expiry of the longest Engagement Order then in effect plus the transition period in clause 24.</w:t>
      </w:r>
    </w:p>
    <w:p>
      <w:pPr>
        <w:spacing w:after="160" w:before="0" w:line="276"/>
        <w:jc w:val="both"/>
      </w:pPr>
      <w:r>
        <w:rPr>
          <w:rFonts w:ascii="Calibri" w:cs="Calibri" w:eastAsia="Calibri" w:hAnsi="Calibri"/>
          <w:b/>
          <w:bCs/>
          <w:sz w:val="22"/>
          <w:szCs w:val="22"/>
        </w:rPr>
        <w:t xml:space="preserve">10.3 White label configuration.</w:t>
      </w:r>
      <w:r>
        <w:rPr>
          <w:rFonts w:ascii="Calibri" w:cs="Calibri" w:eastAsia="Calibri" w:hAnsi="Calibri"/>
          <w:sz w:val="22"/>
          <w:szCs w:val="22"/>
        </w:rPr>
        <w:t xml:space="preserve"> Each Registered Client's PSR tenant will be configured under the Automatum Brand in accordance with Schedule 3, with no PSR vendor or OBP branding visible to the Client or to any Recruited Partner except where the vendor's licence terms make removal impossible, in which case OBP will notify Automatum before the tenant goes live.</w:t>
      </w:r>
    </w:p>
    <w:p>
      <w:pPr>
        <w:spacing w:after="160" w:before="0" w:line="276"/>
        <w:jc w:val="both"/>
      </w:pPr>
      <w:r>
        <w:rPr>
          <w:rFonts w:ascii="Calibri" w:cs="Calibri" w:eastAsia="Calibri" w:hAnsi="Calibri"/>
          <w:b/>
          <w:bCs/>
          <w:sz w:val="22"/>
          <w:szCs w:val="22"/>
        </w:rPr>
        <w:t xml:space="preserve">10.4 Data ownership and permitted use.</w:t>
      </w:r>
      <w:r>
        <w:rPr>
          <w:rFonts w:ascii="Calibri" w:cs="Calibri" w:eastAsia="Calibri" w:hAnsi="Calibri"/>
          <w:sz w:val="22"/>
          <w:szCs w:val="22"/>
        </w:rPr>
        <w:t xml:space="preserve"> Client Data is owned by the Registered Client to which it relates and is licensed to Automatum under the relevant Client Agreement. OBP may process Client Data only to deliver the Services for that Registered Client. OBP will not use Client Data, in identifiable or aggregated form, for benchmarking, for product development, for its own channel business, or for the benefit of any other client of OBP.</w:t>
      </w:r>
    </w:p>
    <w:p>
      <w:pPr>
        <w:spacing w:after="160" w:before="0" w:line="276"/>
        <w:jc w:val="both"/>
      </w:pPr>
      <w:r>
        <w:rPr>
          <w:rFonts w:ascii="Calibri" w:cs="Calibri" w:eastAsia="Calibri" w:hAnsi="Calibri"/>
          <w:b/>
          <w:bCs/>
          <w:sz w:val="22"/>
          <w:szCs w:val="22"/>
        </w:rPr>
        <w:t xml:space="preserve">10.5 Standing data replica.</w:t>
      </w:r>
      <w:r>
        <w:rPr>
          <w:rFonts w:ascii="Calibri" w:cs="Calibri" w:eastAsia="Calibri" w:hAnsi="Calibri"/>
          <w:sz w:val="22"/>
          <w:szCs w:val="22"/>
        </w:rPr>
        <w:t xml:space="preserve"> OBP will export Client Data to storage that Automatum controls, in the documented machine-readable schema maintained under Schedule 5, daily for transactional records and monthly as a full snapshot. The Parties will test a restore of the replica quarterly and reconcile record counts. The Parties acknowledge that source code escrow would not give Automatum an operable system, because OBP licenses rather than owns the PSR, and that the standing data replica and the vendor continuity undertaking in clause 10.8 are the primary continuity protections under this Agreement.</w:t>
      </w:r>
    </w:p>
    <w:p>
      <w:pPr>
        <w:spacing w:after="160" w:before="0" w:line="276"/>
        <w:jc w:val="both"/>
      </w:pPr>
      <w:r>
        <w:rPr>
          <w:rFonts w:ascii="Calibri" w:cs="Calibri" w:eastAsia="Calibri" w:hAnsi="Calibri"/>
          <w:b/>
          <w:bCs/>
          <w:sz w:val="22"/>
          <w:szCs w:val="22"/>
        </w:rPr>
        <w:t xml:space="preserve">10.6 Audit record integrity.</w:t>
      </w:r>
      <w:r>
        <w:rPr>
          <w:rFonts w:ascii="Calibri" w:cs="Calibri" w:eastAsia="Calibri" w:hAnsi="Calibri"/>
          <w:sz w:val="22"/>
          <w:szCs w:val="22"/>
        </w:rPr>
        <w:t xml:space="preserve"> OBP will maintain an append-only event log of the events that constitute the Offer-Issuing Partner count and each other metric in Schedule 4, will retain it for the Term plus seven (7) years, and will make it available to Automatum, to a Registered Client and to their respective auditors on reasonable notice. The retention obligation survives termination.</w:t>
      </w:r>
    </w:p>
    <w:p>
      <w:pPr>
        <w:spacing w:after="160" w:before="0" w:line="276"/>
        <w:jc w:val="both"/>
      </w:pPr>
      <w:r>
        <w:rPr>
          <w:rFonts w:ascii="Calibri" w:cs="Calibri" w:eastAsia="Calibri" w:hAnsi="Calibri"/>
          <w:b/>
          <w:bCs/>
          <w:sz w:val="22"/>
          <w:szCs w:val="22"/>
        </w:rPr>
        <w:t xml:space="preserve">10.7 Administrative access.</w:t>
      </w:r>
      <w:r>
        <w:rPr>
          <w:rFonts w:ascii="Calibri" w:cs="Calibri" w:eastAsia="Calibri" w:hAnsi="Calibri"/>
          <w:sz w:val="22"/>
          <w:szCs w:val="22"/>
        </w:rPr>
        <w:t xml:space="preserve"> Automatum will hold administrative access to each Registered Client's PSR tenant throughout the Engagement.</w:t>
      </w:r>
    </w:p>
    <w:p>
      <w:pPr>
        <w:spacing w:after="160" w:before="0" w:line="276"/>
        <w:jc w:val="both"/>
      </w:pPr>
      <w:r>
        <w:rPr>
          <w:rFonts w:ascii="Calibri" w:cs="Calibri" w:eastAsia="Calibri" w:hAnsi="Calibri"/>
          <w:b/>
          <w:bCs/>
          <w:sz w:val="22"/>
          <w:szCs w:val="22"/>
        </w:rPr>
        <w:t xml:space="preserve">10.8 Vendor continuity.</w:t>
      </w:r>
      <w:r>
        <w:rPr>
          <w:rFonts w:ascii="Calibri" w:cs="Calibri" w:eastAsia="Calibri" w:hAnsi="Calibri"/>
          <w:sz w:val="22"/>
          <w:szCs w:val="22"/>
        </w:rPr>
        <w:t xml:space="preserve"> OBP will procure from the PSR vendor, and maintain, a written undertaking in the form of Schedule 5 Part D under which, on OBP's insolvency, cessation of business, or termination of this Agreement for OBP's breach, the vendor will contract directly with Automatum or its nominee for the remainder of the affected Engagement Orders plus the transition period, at the same or benchmarked rates, with the existing tenant data intact. Procuring that undertaking is a condition to OBP's first Engagement Order. If the vendor will not give it, OBP will notify Automatum before the first Engagement Order is executed, and Automatum may proceed, decline, or require an alternative PSR.</w:t>
      </w:r>
    </w:p>
    <w:p>
      <w:pPr>
        <w:spacing w:after="160" w:before="0" w:line="276"/>
        <w:jc w:val="both"/>
      </w:pPr>
      <w:r>
        <w:rPr>
          <w:rFonts w:ascii="Calibri" w:cs="Calibri" w:eastAsia="Calibri" w:hAnsi="Calibri"/>
          <w:b/>
          <w:bCs/>
          <w:sz w:val="22"/>
          <w:szCs w:val="22"/>
        </w:rPr>
        <w:t xml:space="preserve">10.9 Step-in.</w:t>
      </w:r>
      <w:r>
        <w:rPr>
          <w:rFonts w:ascii="Calibri" w:cs="Calibri" w:eastAsia="Calibri" w:hAnsi="Calibri"/>
          <w:sz w:val="22"/>
          <w:szCs w:val="22"/>
        </w:rPr>
        <w:t xml:space="preserve"> Automatum may exercise step-in rights on a Chronic Failure, on an insolvency event affecting OBP, on a material service failure that threatens a Registered Client's service levels, or on an AWS compliance event. On exercise, OBP will grant Automatum and any nominee access, credentials and administrative rights to the PSR and a royalty-free licence to use the OBP Materials for the remainder of the affected Engagement Orders plus the transition period. Step-in does not relieve OBP of liability for any period before step-in. Automatum will step out on thirty (30) days' notice once the trigger has been remedied, on an agreed step-out plan.</w:t>
      </w:r>
    </w:p>
    <w:p>
      <w:pPr>
        <w:spacing w:after="160" w:before="0" w:line="276"/>
        <w:jc w:val="both"/>
      </w:pPr>
      <w:r>
        <w:rPr>
          <w:rFonts w:ascii="Calibri" w:cs="Calibri" w:eastAsia="Calibri" w:hAnsi="Calibri"/>
          <w:b/>
          <w:bCs/>
          <w:sz w:val="22"/>
          <w:szCs w:val="22"/>
        </w:rPr>
        <w:t xml:space="preserve">10.10 Insolvency.</w:t>
      </w:r>
      <w:r>
        <w:rPr>
          <w:rFonts w:ascii="Calibri" w:cs="Calibri" w:eastAsia="Calibri" w:hAnsi="Calibri"/>
          <w:sz w:val="22"/>
          <w:szCs w:val="22"/>
        </w:rPr>
        <w:t xml:space="preserve"> The access rights and licences granted under clauses 10.8 and 10.9 are licences of intellectual property for the purposes of section 365(n) of the United States Bankruptcy Code, and Automatum may elect to retain its rights under that section. Each Party agrees not to assert that those rights terminate automatically on the other's insolvency.</w:t>
      </w:r>
    </w:p>
    <w:p>
      <w:pPr>
        <w:pStyle w:val="Heading2"/>
        <w:keepNext/>
        <w:spacing w:after="140" w:before="300"/>
      </w:pPr>
      <w:r>
        <w:rPr>
          <w:rFonts w:ascii="Calibri" w:cs="Calibri" w:eastAsia="Calibri" w:hAnsi="Calibri"/>
          <w:b/>
          <w:bCs/>
          <w:sz w:val="24"/>
          <w:szCs w:val="24"/>
        </w:rPr>
        <w:t xml:space="preserve">11. Fees, Invoicing and Payment</w:t>
      </w:r>
    </w:p>
    <w:p>
      <w:pPr>
        <w:spacing w:after="160" w:before="0" w:line="276"/>
        <w:jc w:val="both"/>
      </w:pPr>
      <w:r>
        <w:rPr>
          <w:rFonts w:ascii="Calibri" w:cs="Calibri" w:eastAsia="Calibri" w:hAnsi="Calibri"/>
          <w:b/>
          <w:bCs/>
          <w:sz w:val="22"/>
          <w:szCs w:val="22"/>
        </w:rPr>
        <w:t xml:space="preserve">11.1 Collected Client Fees.</w:t>
      </w:r>
      <w:r>
        <w:rPr>
          <w:rFonts w:ascii="Calibri" w:cs="Calibri" w:eastAsia="Calibri" w:hAnsi="Calibri"/>
          <w:sz w:val="22"/>
          <w:szCs w:val="22"/>
        </w:rPr>
        <w:t xml:space="preserve"> "Collected Client Fees" means, for a Registered Client and an Engagement Month, the Client Fees actually received by Automatum for that month, net of Taxes and of any payment processing fees, and net of any AWS Marketplace listing fee if and to the extent clause 11.10 applies.</w:t>
      </w:r>
    </w:p>
    <w:p>
      <w:pPr>
        <w:spacing w:after="160" w:before="0" w:line="276"/>
        <w:jc w:val="both"/>
      </w:pPr>
      <w:r>
        <w:rPr>
          <w:rFonts w:ascii="Calibri" w:cs="Calibri" w:eastAsia="Calibri" w:hAnsi="Calibri"/>
          <w:b/>
          <w:bCs/>
          <w:sz w:val="22"/>
          <w:szCs w:val="22"/>
        </w:rPr>
        <w:t xml:space="preserve">11.2 The split.</w:t>
      </w:r>
      <w:r>
        <w:rPr>
          <w:rFonts w:ascii="Calibri" w:cs="Calibri" w:eastAsia="Calibri" w:hAnsi="Calibri"/>
          <w:sz w:val="22"/>
          <w:szCs w:val="22"/>
        </w:rPr>
        <w:t xml:space="preserve"> For each Engagement Year:</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Automatum Retention</w:t>
      </w:r>
      <w:r>
        <w:rPr>
          <w:rFonts w:ascii="Calibri" w:cs="Calibri" w:eastAsia="Calibri" w:hAnsi="Calibri"/>
          <w:sz w:val="22"/>
          <w:szCs w:val="22"/>
        </w:rPr>
        <w:t xml:space="preserve">" is nine thousand nine hundred ninety nine dollars ($9,999), being Automatum's Enterprise tier, which accrues pro rata across the twelve (12) Engagement Months of that Engagement Year at eight hundred thirty three dollars and twenty five cents ($833.25) per Engagement Month; and</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OBP Service Revenue</w:t>
      </w:r>
      <w:r>
        <w:rPr>
          <w:rFonts w:ascii="Calibri" w:cs="Calibri" w:eastAsia="Calibri" w:hAnsi="Calibri"/>
          <w:sz w:val="22"/>
          <w:szCs w:val="22"/>
        </w:rPr>
        <w:t xml:space="preserve">" is the balance of the Collected Client Fees for that Engagement Year after the Automatum Retention, which accrues monthly as set out in Schedule 2.</w:t>
      </w:r>
    </w:p>
    <w:p>
      <w:pPr>
        <w:spacing w:after="160" w:before="0" w:line="276"/>
        <w:jc w:val="both"/>
      </w:pPr>
      <w:r>
        <w:rPr>
          <w:rFonts w:ascii="Calibri" w:cs="Calibri" w:eastAsia="Calibri" w:hAnsi="Calibri"/>
          <w:sz w:val="22"/>
          <w:szCs w:val="22"/>
        </w:rPr>
        <w:t xml:space="preserve">Schedule 2 states the resulting figures for each Tier. The Automatum Retention is the same amount at every Tier.</w:t>
      </w:r>
    </w:p>
    <w:p>
      <w:pPr>
        <w:spacing w:after="160" w:before="0" w:line="276"/>
        <w:jc w:val="both"/>
      </w:pPr>
      <w:r>
        <w:rPr>
          <w:rFonts w:ascii="Calibri" w:cs="Calibri" w:eastAsia="Calibri" w:hAnsi="Calibri"/>
          <w:b/>
          <w:bCs/>
          <w:sz w:val="22"/>
          <w:szCs w:val="22"/>
        </w:rPr>
        <w:t xml:space="preserve">11.3 No front-loading.</w:t>
      </w:r>
      <w:r>
        <w:rPr>
          <w:rFonts w:ascii="Calibri" w:cs="Calibri" w:eastAsia="Calibri" w:hAnsi="Calibri"/>
          <w:sz w:val="22"/>
          <w:szCs w:val="22"/>
        </w:rPr>
        <w:t xml:space="preserve"> The Automatum Retention accrues pro rata under clause 11.2(a) and is not recovered from the earliest Client payments in priority to the OBP Service Revenue.</w:t>
      </w:r>
    </w:p>
    <w:p>
      <w:pPr>
        <w:spacing w:after="160" w:before="0" w:line="276"/>
        <w:jc w:val="both"/>
      </w:pPr>
      <w:r>
        <w:rPr>
          <w:rFonts w:ascii="Calibri" w:cs="Calibri" w:eastAsia="Calibri" w:hAnsi="Calibri"/>
          <w:b/>
          <w:bCs/>
          <w:sz w:val="22"/>
          <w:szCs w:val="22"/>
        </w:rPr>
        <w:t xml:space="preserve">11.4 Invoicing.</w:t>
      </w:r>
      <w:r>
        <w:rPr>
          <w:rFonts w:ascii="Calibri" w:cs="Calibri" w:eastAsia="Calibri" w:hAnsi="Calibri"/>
          <w:sz w:val="22"/>
          <w:szCs w:val="22"/>
        </w:rPr>
        <w:t xml:space="preserve"> OBP will invoice Automatum monthly in arrears for the OBP Service Revenue accrued in the preceding Engagement Month, together with any amount payable under Schedule 2 for a change in Tier.</w:t>
      </w:r>
    </w:p>
    <w:p>
      <w:pPr>
        <w:spacing w:after="160" w:before="0" w:line="276"/>
        <w:jc w:val="both"/>
      </w:pPr>
      <w:r>
        <w:rPr>
          <w:rFonts w:ascii="Calibri" w:cs="Calibri" w:eastAsia="Calibri" w:hAnsi="Calibri"/>
          <w:b/>
          <w:bCs/>
          <w:sz w:val="22"/>
          <w:szCs w:val="22"/>
        </w:rPr>
        <w:t xml:space="preserve">11.5 Payment.</w:t>
      </w:r>
      <w:r>
        <w:rPr>
          <w:rFonts w:ascii="Calibri" w:cs="Calibri" w:eastAsia="Calibri" w:hAnsi="Calibri"/>
          <w:sz w:val="22"/>
          <w:szCs w:val="22"/>
        </w:rPr>
        <w:t xml:space="preserve"> Automatum will pay each undisputed OBP invoice within ten (10) Business Days of receiving the corresponding Client payment, and in any event within sixty (60) days of the invoice date whether or not the Client has paid. The sixty (60) day longstop does not apply where the Client has entered an insolvency process, or where the Client is withholding payment because of a dispute caused by OBP's performance, in which case only the disputed portion may be withheld and only until the dispute is resolved.</w:t>
      </w:r>
    </w:p>
    <w:p>
      <w:pPr>
        <w:spacing w:after="160" w:before="0" w:line="276"/>
        <w:jc w:val="both"/>
      </w:pPr>
      <w:r>
        <w:rPr>
          <w:rFonts w:ascii="Calibri" w:cs="Calibri" w:eastAsia="Calibri" w:hAnsi="Calibri"/>
          <w:b/>
          <w:bCs/>
          <w:sz w:val="22"/>
          <w:szCs w:val="22"/>
        </w:rPr>
        <w:t xml:space="preserve">11.6 Automatum's collection obligations.</w:t>
      </w:r>
      <w:r>
        <w:rPr>
          <w:rFonts w:ascii="Calibri" w:cs="Calibri" w:eastAsia="Calibri" w:hAnsi="Calibri"/>
          <w:sz w:val="22"/>
          <w:szCs w:val="22"/>
        </w:rPr>
        <w:t xml:space="preserve"> Automatum will invoice each Registered Client within five (5) Business Days of the due date under the Client Agreement, will pursue collection diligently, and will provide OBP with a monthly statement showing, for each Registered Client, the Client Fees invoiced, the amounts collected, the Automatum Retention accrued and the OBP Service Revenue accrued.</w:t>
      </w:r>
    </w:p>
    <w:p>
      <w:pPr>
        <w:spacing w:after="160" w:before="0" w:line="276"/>
        <w:jc w:val="both"/>
      </w:pPr>
      <w:r>
        <w:rPr>
          <w:rFonts w:ascii="Calibri" w:cs="Calibri" w:eastAsia="Calibri" w:hAnsi="Calibri"/>
          <w:b/>
          <w:bCs/>
          <w:sz w:val="22"/>
          <w:szCs w:val="22"/>
        </w:rPr>
        <w:t xml:space="preserve">11.7 No unilateral concessions.</w:t>
      </w:r>
      <w:r>
        <w:rPr>
          <w:rFonts w:ascii="Calibri" w:cs="Calibri" w:eastAsia="Calibri" w:hAnsi="Calibri"/>
          <w:sz w:val="22"/>
          <w:szCs w:val="22"/>
        </w:rPr>
        <w:t xml:space="preserve"> Automatum will not settle, waive, discount or credit any Client Fees in a way that reduces OBP Service Revenue without OBP's prior written consent. If it does, OBP Service Revenue is calculated as though the full Client Fees had been collected.</w:t>
      </w:r>
    </w:p>
    <w:p>
      <w:pPr>
        <w:spacing w:after="160" w:before="0" w:line="276"/>
        <w:jc w:val="both"/>
      </w:pPr>
      <w:r>
        <w:rPr>
          <w:rFonts w:ascii="Calibri" w:cs="Calibri" w:eastAsia="Calibri" w:hAnsi="Calibri"/>
          <w:b/>
          <w:bCs/>
          <w:sz w:val="22"/>
          <w:szCs w:val="22"/>
        </w:rPr>
        <w:t xml:space="preserve">11.8 Suspension.</w:t>
      </w:r>
      <w:r>
        <w:rPr>
          <w:rFonts w:ascii="Calibri" w:cs="Calibri" w:eastAsia="Calibri" w:hAnsi="Calibri"/>
          <w:sz w:val="22"/>
          <w:szCs w:val="22"/>
        </w:rPr>
        <w:t xml:space="preserve"> OBP may not suspend any client-facing element of the Services for non-payment unless payment is more than sixty (60) days overdue and OBP has given fifteen (15) Business Days' written notice to Automatum. OBP's remedy for sustained non-payment is termination of the affected Engagement Order under clause 23.4 with transition assistance paid by Automatum. Clause 7.4 applies throughout: OBP will not contact the Registered Client about a payment dispute.</w:t>
      </w:r>
    </w:p>
    <w:p>
      <w:pPr>
        <w:spacing w:after="160" w:before="0" w:line="276"/>
        <w:jc w:val="both"/>
      </w:pPr>
      <w:r>
        <w:rPr>
          <w:rFonts w:ascii="Calibri" w:cs="Calibri" w:eastAsia="Calibri" w:hAnsi="Calibri"/>
          <w:b/>
          <w:bCs/>
          <w:sz w:val="22"/>
          <w:szCs w:val="22"/>
        </w:rPr>
        <w:t xml:space="preserve">11.9 Interest and set-off.</w:t>
      </w:r>
      <w:r>
        <w:rPr>
          <w:rFonts w:ascii="Calibri" w:cs="Calibri" w:eastAsia="Calibri" w:hAnsi="Calibri"/>
          <w:sz w:val="22"/>
          <w:szCs w:val="22"/>
        </w:rPr>
        <w:t xml:space="preserve"> Interest accrues on overdue undisputed amounts at one and one-half percent (1.5%) per month or the maximum rate permitted by law, whichever is lower. Neither Party may set off against amounts due except for sums that are liquidated, undisputed and due.</w:t>
      </w:r>
    </w:p>
    <w:p>
      <w:pPr>
        <w:spacing w:after="160" w:before="0" w:line="276"/>
        <w:jc w:val="both"/>
      </w:pPr>
      <w:r>
        <w:rPr>
          <w:rFonts w:ascii="Calibri" w:cs="Calibri" w:eastAsia="Calibri" w:hAnsi="Calibri"/>
          <w:b/>
          <w:bCs/>
          <w:sz w:val="22"/>
          <w:szCs w:val="22"/>
        </w:rPr>
        <w:t xml:space="preserve">11.10 Marketplace transaction of engagement fees.</w:t>
      </w:r>
      <w:r>
        <w:rPr>
          <w:rFonts w:ascii="Calibri" w:cs="Calibri" w:eastAsia="Calibri" w:hAnsi="Calibri"/>
          <w:sz w:val="22"/>
          <w:szCs w:val="22"/>
        </w:rPr>
        <w:t xml:space="preserve"> The Parties record that the engagement fees are invoiced by Automatum directly to each Client and are not transacted through AWS Marketplace, so no AWS Marketplace listing fee applies to them, and that the figures in Schedule 2 depend on that being so. If the Parties later agree to transact engagement fees through AWS Marketplace, the allocation of the resulting listing fee is a change requiring agreement under clause 14.5 before that arrangement begins.</w:t>
      </w:r>
    </w:p>
    <w:p>
      <w:pPr>
        <w:spacing w:after="160" w:before="0" w:line="276"/>
        <w:jc w:val="both"/>
      </w:pPr>
      <w:r>
        <w:rPr>
          <w:rFonts w:ascii="Calibri" w:cs="Calibri" w:eastAsia="Calibri" w:hAnsi="Calibri"/>
          <w:b/>
          <w:bCs/>
          <w:sz w:val="22"/>
          <w:szCs w:val="22"/>
        </w:rPr>
        <w:t xml:space="preserve">11.11 Taxes.</w:t>
      </w:r>
      <w:r>
        <w:rPr>
          <w:rFonts w:ascii="Calibri" w:cs="Calibri" w:eastAsia="Calibri" w:hAnsi="Calibri"/>
          <w:sz w:val="22"/>
          <w:szCs w:val="22"/>
        </w:rPr>
        <w:t xml:space="preserve"> Each Party is responsible for its own taxes on its own income. Amounts payable under this Agreement are exclusive of Taxes, which Automatum will pay in addition where properly chargeable. If any withholding is required by law, the payer will gross up so that the payee receives the amount it would have received absent the withholding.</w:t>
      </w:r>
    </w:p>
    <w:p>
      <w:pPr>
        <w:spacing w:after="160" w:before="0" w:line="276"/>
        <w:jc w:val="both"/>
      </w:pPr>
      <w:r>
        <w:rPr>
          <w:rFonts w:ascii="Calibri" w:cs="Calibri" w:eastAsia="Calibri" w:hAnsi="Calibri"/>
          <w:b/>
          <w:bCs/>
          <w:sz w:val="22"/>
          <w:szCs w:val="22"/>
        </w:rPr>
        <w:t xml:space="preserve">11.12 Audit of billing.</w:t>
      </w:r>
      <w:r>
        <w:rPr>
          <w:rFonts w:ascii="Calibri" w:cs="Calibri" w:eastAsia="Calibri" w:hAnsi="Calibri"/>
          <w:sz w:val="22"/>
          <w:szCs w:val="22"/>
        </w:rPr>
        <w:t xml:space="preserve"> Once per calendar year, OBP may audit Automatum's records relating to Client Fees invoiced and collected for Registered Clients, on thirty (30) days' notice, during business hours, at OBP's cost. If the audit shows an understatement of OBP Service Revenue exceeding five percent (5%) for the period audited, Automatum will bear the cost of the audit and pay the shortfall with interest under clause 11.9.</w:t>
      </w:r>
    </w:p>
    <w:p>
      <w:pPr>
        <w:pStyle w:val="Heading2"/>
        <w:keepNext/>
        <w:spacing w:after="140" w:before="300"/>
      </w:pPr>
      <w:r>
        <w:rPr>
          <w:rFonts w:ascii="Calibri" w:cs="Calibri" w:eastAsia="Calibri" w:hAnsi="Calibri"/>
          <w:b/>
          <w:bCs/>
          <w:sz w:val="24"/>
          <w:szCs w:val="24"/>
        </w:rPr>
        <w:t xml:space="preserve">12. Reporting, Records and Audit</w:t>
      </w:r>
    </w:p>
    <w:p>
      <w:pPr>
        <w:spacing w:after="160" w:before="0" w:line="276"/>
        <w:jc w:val="both"/>
      </w:pPr>
      <w:r>
        <w:rPr>
          <w:rFonts w:ascii="Calibri" w:cs="Calibri" w:eastAsia="Calibri" w:hAnsi="Calibri"/>
          <w:b/>
          <w:bCs/>
          <w:sz w:val="22"/>
          <w:szCs w:val="22"/>
        </w:rPr>
        <w:t xml:space="preserve">12.1 Monthly report.</w:t>
      </w:r>
      <w:r>
        <w:rPr>
          <w:rFonts w:ascii="Calibri" w:cs="Calibri" w:eastAsia="Calibri" w:hAnsi="Calibri"/>
          <w:sz w:val="22"/>
          <w:szCs w:val="22"/>
        </w:rPr>
        <w:t xml:space="preserve"> OBP will deliver the monthly reporting pack under clause 5.12. The headline metric is the number of Offer-Issuing Partners, or the fallback metric where clause 14.2 applies, in each case determined under Schedule 4.</w:t>
      </w:r>
    </w:p>
    <w:p>
      <w:pPr>
        <w:spacing w:after="160" w:before="0" w:line="276"/>
        <w:jc w:val="both"/>
      </w:pPr>
      <w:r>
        <w:rPr>
          <w:rFonts w:ascii="Calibri" w:cs="Calibri" w:eastAsia="Calibri" w:hAnsi="Calibri"/>
          <w:b/>
          <w:bCs/>
          <w:sz w:val="22"/>
          <w:szCs w:val="22"/>
        </w:rPr>
        <w:t xml:space="preserve">12.2 Source of truth.</w:t>
      </w:r>
      <w:r>
        <w:rPr>
          <w:rFonts w:ascii="Calibri" w:cs="Calibri" w:eastAsia="Calibri" w:hAnsi="Calibri"/>
          <w:sz w:val="22"/>
          <w:szCs w:val="22"/>
        </w:rPr>
        <w:t xml:space="preserve"> The PSR is the source of truth for the metrics in Schedule 4. OBP will reconcile the PSR against AWS Marketplace seller reporting monthly and will report any discrepancy with the reconciliation.</w:t>
      </w:r>
    </w:p>
    <w:p>
      <w:pPr>
        <w:spacing w:after="160" w:before="0" w:line="276"/>
        <w:jc w:val="both"/>
      </w:pPr>
      <w:r>
        <w:rPr>
          <w:rFonts w:ascii="Calibri" w:cs="Calibri" w:eastAsia="Calibri" w:hAnsi="Calibri"/>
          <w:b/>
          <w:bCs/>
          <w:sz w:val="22"/>
          <w:szCs w:val="22"/>
        </w:rPr>
        <w:t xml:space="preserve">12.3 Disputes.</w:t>
      </w:r>
      <w:r>
        <w:rPr>
          <w:rFonts w:ascii="Calibri" w:cs="Calibri" w:eastAsia="Calibri" w:hAnsi="Calibri"/>
          <w:sz w:val="22"/>
          <w:szCs w:val="22"/>
        </w:rPr>
        <w:t xml:space="preserve"> Automatum may dispute a reported figure within fifteen (15) Business Days of receiving the report. The Parties will resolve the dispute by reference to the event log under clause 10.6.</w:t>
      </w:r>
    </w:p>
    <w:p>
      <w:pPr>
        <w:spacing w:after="160" w:before="0" w:line="276"/>
        <w:jc w:val="both"/>
      </w:pPr>
      <w:r>
        <w:rPr>
          <w:rFonts w:ascii="Calibri" w:cs="Calibri" w:eastAsia="Calibri" w:hAnsi="Calibri"/>
          <w:b/>
          <w:bCs/>
          <w:sz w:val="22"/>
          <w:szCs w:val="22"/>
        </w:rPr>
        <w:t xml:space="preserve">12.4 Records.</w:t>
      </w:r>
      <w:r>
        <w:rPr>
          <w:rFonts w:ascii="Calibri" w:cs="Calibri" w:eastAsia="Calibri" w:hAnsi="Calibri"/>
          <w:sz w:val="22"/>
          <w:szCs w:val="22"/>
        </w:rPr>
        <w:t xml:space="preserve"> Each Party will keep accurate records relating to its performance for the Term plus three (3) years, and clause 10.6 applies to the event log.</w:t>
      </w:r>
    </w:p>
    <w:p>
      <w:pPr>
        <w:spacing w:after="160" w:before="0" w:line="276"/>
        <w:jc w:val="both"/>
      </w:pPr>
      <w:r>
        <w:rPr>
          <w:rFonts w:ascii="Calibri" w:cs="Calibri" w:eastAsia="Calibri" w:hAnsi="Calibri"/>
          <w:b/>
          <w:bCs/>
          <w:sz w:val="22"/>
          <w:szCs w:val="22"/>
        </w:rPr>
        <w:t xml:space="preserve">12.5 Audit.</w:t>
      </w:r>
      <w:r>
        <w:rPr>
          <w:rFonts w:ascii="Calibri" w:cs="Calibri" w:eastAsia="Calibri" w:hAnsi="Calibri"/>
          <w:sz w:val="22"/>
          <w:szCs w:val="22"/>
        </w:rPr>
        <w:t xml:space="preserve"> Automatum may audit OBP's compliance with this Agreement once per calendar year on thirty (30) days' notice, during business hours, at Automatum's cost, and more frequently following a Chronic Failure or a security incident. Audits will not require disclosure of another OBP client's confidential information.</w:t>
      </w:r>
    </w:p>
    <w:p>
      <w:pPr>
        <w:pStyle w:val="Heading2"/>
        <w:keepNext/>
        <w:spacing w:after="140" w:before="300"/>
      </w:pPr>
      <w:r>
        <w:rPr>
          <w:rFonts w:ascii="Calibri" w:cs="Calibri" w:eastAsia="Calibri" w:hAnsi="Calibri"/>
          <w:b/>
          <w:bCs/>
          <w:sz w:val="24"/>
          <w:szCs w:val="24"/>
        </w:rPr>
        <w:t xml:space="preserve">13. AWS Program Compliance</w:t>
      </w:r>
    </w:p>
    <w:p>
      <w:pPr>
        <w:spacing w:after="160" w:before="0" w:line="276"/>
        <w:jc w:val="both"/>
      </w:pPr>
      <w:r>
        <w:rPr>
          <w:rFonts w:ascii="Calibri" w:cs="Calibri" w:eastAsia="Calibri" w:hAnsi="Calibri"/>
          <w:b/>
          <w:bCs/>
          <w:sz w:val="22"/>
          <w:szCs w:val="22"/>
        </w:rPr>
        <w:t xml:space="preserve">13.1 Compliance.</w:t>
      </w:r>
      <w:r>
        <w:rPr>
          <w:rFonts w:ascii="Calibri" w:cs="Calibri" w:eastAsia="Calibri" w:hAnsi="Calibri"/>
          <w:sz w:val="22"/>
          <w:szCs w:val="22"/>
        </w:rPr>
        <w:t xml:space="preserve"> Each Party will comply with the AWS Program Terms applicable to it in connection with the Solution, and will maintain the AWS registrations, certifications and programme statuses its role requires.</w:t>
      </w:r>
    </w:p>
    <w:p>
      <w:pPr>
        <w:spacing w:after="160" w:before="0" w:line="276"/>
        <w:jc w:val="both"/>
      </w:pPr>
      <w:r>
        <w:rPr>
          <w:rFonts w:ascii="Calibri" w:cs="Calibri" w:eastAsia="Calibri" w:hAnsi="Calibri"/>
          <w:b/>
          <w:bCs/>
          <w:sz w:val="22"/>
          <w:szCs w:val="22"/>
        </w:rPr>
        <w:t xml:space="preserve">13.2 No representation as AWS.</w:t>
      </w:r>
      <w:r>
        <w:rPr>
          <w:rFonts w:ascii="Calibri" w:cs="Calibri" w:eastAsia="Calibri" w:hAnsi="Calibri"/>
          <w:sz w:val="22"/>
          <w:szCs w:val="22"/>
        </w:rPr>
        <w:t xml:space="preserve"> Neither Party will represent itself as AWS, as acting with AWS's authority, or as able to bind AWS. Neither Party will make any commitment on AWS's behalf.</w:t>
      </w:r>
    </w:p>
    <w:p>
      <w:pPr>
        <w:spacing w:after="160" w:before="0" w:line="276"/>
        <w:jc w:val="both"/>
      </w:pPr>
      <w:r>
        <w:rPr>
          <w:rFonts w:ascii="Calibri" w:cs="Calibri" w:eastAsia="Calibri" w:hAnsi="Calibri"/>
          <w:b/>
          <w:bCs/>
          <w:sz w:val="22"/>
          <w:szCs w:val="22"/>
        </w:rPr>
        <w:t xml:space="preserve">13.3 AWS is not a party.</w:t>
      </w:r>
      <w:r>
        <w:rPr>
          <w:rFonts w:ascii="Calibri" w:cs="Calibri" w:eastAsia="Calibri" w:hAnsi="Calibri"/>
          <w:sz w:val="22"/>
          <w:szCs w:val="22"/>
        </w:rPr>
        <w:t xml:space="preserve"> AWS is not a party to this Agreement and owes no obligation under it. Nothing in this Agreement or in the feasibility study referred to in Recital C is a commitment by AWS, including the reference in that study to ACE opportunity submissions, which Schedule 8 records as a programme assumption only.</w:t>
      </w:r>
    </w:p>
    <w:p>
      <w:pPr>
        <w:spacing w:after="160" w:before="0" w:line="276"/>
        <w:jc w:val="both"/>
      </w:pPr>
      <w:r>
        <w:rPr>
          <w:rFonts w:ascii="Calibri" w:cs="Calibri" w:eastAsia="Calibri" w:hAnsi="Calibri"/>
          <w:b/>
          <w:bCs/>
          <w:sz w:val="22"/>
          <w:szCs w:val="22"/>
        </w:rPr>
        <w:t xml:space="preserve">13.4 Solution identifier.</w:t>
      </w:r>
      <w:r>
        <w:rPr>
          <w:rFonts w:ascii="Calibri" w:cs="Calibri" w:eastAsia="Calibri" w:hAnsi="Calibri"/>
          <w:sz w:val="22"/>
          <w:szCs w:val="22"/>
        </w:rPr>
        <w:t xml:space="preserve"> Opportunities for the Solution will be mapped to the single solution identifier stated in Schedule 8.</w:t>
      </w:r>
    </w:p>
    <w:p>
      <w:pPr>
        <w:spacing w:after="160" w:before="0" w:line="276"/>
        <w:jc w:val="both"/>
      </w:pPr>
      <w:r>
        <w:rPr>
          <w:rFonts w:ascii="Calibri" w:cs="Calibri" w:eastAsia="Calibri" w:hAnsi="Calibri"/>
          <w:b/>
          <w:bCs/>
          <w:sz w:val="22"/>
          <w:szCs w:val="22"/>
        </w:rPr>
        <w:t xml:space="preserve">13.5 ACE integrity.</w:t>
      </w:r>
      <w:r>
        <w:rPr>
          <w:rFonts w:ascii="Calibri" w:cs="Calibri" w:eastAsia="Calibri" w:hAnsi="Calibri"/>
          <w:sz w:val="22"/>
          <w:szCs w:val="22"/>
        </w:rPr>
        <w:t xml:space="preserve"> Neither Party will submit an ACE opportunity it knows or ought reasonably to know to be inaccurate, duplicated or misattributed. Clause 5.11 governs the account under which OBP files.</w:t>
      </w:r>
    </w:p>
    <w:p>
      <w:pPr>
        <w:spacing w:after="160" w:before="0" w:line="276"/>
        <w:jc w:val="both"/>
      </w:pPr>
      <w:r>
        <w:rPr>
          <w:rFonts w:ascii="Calibri" w:cs="Calibri" w:eastAsia="Calibri" w:hAnsi="Calibri"/>
          <w:b/>
          <w:bCs/>
          <w:sz w:val="22"/>
          <w:szCs w:val="22"/>
        </w:rPr>
        <w:t xml:space="preserve">13.6 Overlapping offerings.</w:t>
      </w:r>
      <w:r>
        <w:rPr>
          <w:rFonts w:ascii="Calibri" w:cs="Calibri" w:eastAsia="Calibri" w:hAnsi="Calibri"/>
          <w:sz w:val="22"/>
          <w:szCs w:val="22"/>
        </w:rPr>
        <w:t xml:space="preserve"> Where an opportunity falls within both the Solution and another offering of either Party, the Parties will attribute it to a single solution identifier, applying the higher-tier offering's commitment structure, so that no opportunity is billed twice. Schedule 8 records the worked basis on which this rule operates and the tie-break where tiers are equal.</w:t>
      </w:r>
    </w:p>
    <w:p>
      <w:pPr>
        <w:spacing w:after="160" w:before="0" w:line="276"/>
        <w:jc w:val="both"/>
      </w:pPr>
      <w:r>
        <w:rPr>
          <w:rFonts w:ascii="Calibri" w:cs="Calibri" w:eastAsia="Calibri" w:hAnsi="Calibri"/>
          <w:b/>
          <w:bCs/>
          <w:sz w:val="22"/>
          <w:szCs w:val="22"/>
        </w:rPr>
        <w:t xml:space="preserve">13.7 AWS programme change.</w:t>
      </w:r>
      <w:r>
        <w:rPr>
          <w:rFonts w:ascii="Calibri" w:cs="Calibri" w:eastAsia="Calibri" w:hAnsi="Calibri"/>
          <w:sz w:val="22"/>
          <w:szCs w:val="22"/>
        </w:rPr>
        <w:t xml:space="preserve"> If AWS changes an AWS Program Term, a Marketplace mechanism or a programme rule so that a commitment in Schedule 1 or Schedule 4 becomes impossible or materially more onerous, clause 14.3 applies.</w:t>
      </w:r>
    </w:p>
    <w:p>
      <w:pPr>
        <w:pStyle w:val="Heading2"/>
        <w:keepNext/>
        <w:spacing w:after="140" w:before="300"/>
      </w:pPr>
      <w:r>
        <w:rPr>
          <w:rFonts w:ascii="Calibri" w:cs="Calibri" w:eastAsia="Calibri" w:hAnsi="Calibri"/>
          <w:b/>
          <w:bCs/>
          <w:sz w:val="24"/>
          <w:szCs w:val="24"/>
        </w:rPr>
        <w:t xml:space="preserve">14. Dependencies, Assumptions and Change Control</w:t>
      </w:r>
    </w:p>
    <w:p>
      <w:pPr>
        <w:spacing w:after="160" w:before="0" w:line="276"/>
        <w:jc w:val="both"/>
      </w:pPr>
      <w:r>
        <w:rPr>
          <w:rFonts w:ascii="Calibri" w:cs="Calibri" w:eastAsia="Calibri" w:hAnsi="Calibri"/>
          <w:b/>
          <w:bCs/>
          <w:sz w:val="22"/>
          <w:szCs w:val="22"/>
        </w:rPr>
        <w:t xml:space="preserve">14.1 Assumptions.</w:t>
      </w:r>
      <w:r>
        <w:rPr>
          <w:rFonts w:ascii="Calibri" w:cs="Calibri" w:eastAsia="Calibri" w:hAnsi="Calibri"/>
          <w:sz w:val="22"/>
          <w:szCs w:val="22"/>
        </w:rPr>
        <w:t xml:space="preserve"> This Agreement is entered into on the assumptions recorded in Schedule 8. An assumption proving incorrect is not a breach by either Party, and the consequence is as stated in Schedule 8 or in this clause 14.</w:t>
      </w:r>
    </w:p>
    <w:p>
      <w:pPr>
        <w:spacing w:after="160" w:before="0" w:line="276"/>
        <w:jc w:val="both"/>
      </w:pPr>
      <w:r>
        <w:rPr>
          <w:rFonts w:ascii="Calibri" w:cs="Calibri" w:eastAsia="Calibri" w:hAnsi="Calibri"/>
          <w:b/>
          <w:bCs/>
          <w:sz w:val="22"/>
          <w:szCs w:val="22"/>
        </w:rPr>
        <w:t xml:space="preserve">14.2 The Marketplace authorization dependency.</w:t>
      </w:r>
      <w:r>
        <w:rPr>
          <w:rFonts w:ascii="Calibri" w:cs="Calibri" w:eastAsia="Calibri" w:hAnsi="Calibri"/>
          <w:sz w:val="22"/>
          <w:szCs w:val="22"/>
        </w:rPr>
        <w:t xml:space="preserve"> The Parties record that it is not yet confirmed whether, and by what mechanism, a third-party reseller can issue offers against Automatum's listing while Automatum is seller of record, and that the Offer-Issuing Partner metric depends on it.</w:t>
      </w:r>
    </w:p>
    <w:p>
      <w:pPr>
        <w:spacing w:after="80" w:before="60" w:line="276"/>
        <w:ind w:left="780" w:hanging="360"/>
      </w:pPr>
      <w:r>
        <w:rPr>
          <w:rFonts w:ascii="Calibri" w:cs="Calibri" w:eastAsia="Calibri" w:hAnsi="Calibri"/>
          <w:sz w:val="22"/>
          <w:szCs w:val="22"/>
        </w:rPr>
        <w:t xml:space="preserve">a.	Automatum owns obtaining AWS's confirmation, and will use reasonable efforts to obtain a written answer by the longstop date stated in Schedule 8.</w:t>
      </w:r>
    </w:p>
    <w:p>
      <w:pPr>
        <w:spacing w:after="80" w:before="60" w:line="276"/>
        <w:ind w:left="780" w:hanging="360"/>
      </w:pPr>
      <w:r>
        <w:rPr>
          <w:rFonts w:ascii="Calibri" w:cs="Calibri" w:eastAsia="Calibri" w:hAnsi="Calibri"/>
          <w:sz w:val="22"/>
          <w:szCs w:val="22"/>
        </w:rPr>
        <w:t xml:space="preserve">b.	If the mechanism is confirmed as available by the longstop date, the primary metric in Schedule 4 applies.</w:t>
      </w:r>
    </w:p>
    <w:p>
      <w:pPr>
        <w:spacing w:after="80" w:before="60" w:line="276"/>
        <w:ind w:left="780" w:hanging="360"/>
      </w:pPr>
      <w:r>
        <w:rPr>
          <w:rFonts w:ascii="Calibri" w:cs="Calibri" w:eastAsia="Calibri" w:hAnsi="Calibri"/>
          <w:sz w:val="22"/>
          <w:szCs w:val="22"/>
        </w:rPr>
        <w:t xml:space="preserve">c.	If it is not confirmed as available by the longstop date, the fallback metric in Schedule 4 applies automatically from the next Engagement Month, without further agreement, and neither Party is in breach and neither Party is liable to the other.</w:t>
      </w:r>
    </w:p>
    <w:p>
      <w:pPr>
        <w:spacing w:after="80" w:before="60" w:line="276"/>
        <w:ind w:left="780" w:hanging="360"/>
      </w:pPr>
      <w:r>
        <w:rPr>
          <w:rFonts w:ascii="Calibri" w:cs="Calibri" w:eastAsia="Calibri" w:hAnsi="Calibri"/>
          <w:sz w:val="22"/>
          <w:szCs w:val="22"/>
        </w:rPr>
        <w:t xml:space="preserve">d.	Neither Party warrants the outcome of this dependency.</w:t>
      </w:r>
    </w:p>
    <w:p>
      <w:pPr>
        <w:spacing w:after="160" w:before="0" w:line="276"/>
        <w:jc w:val="both"/>
      </w:pPr>
      <w:r>
        <w:rPr>
          <w:rFonts w:ascii="Calibri" w:cs="Calibri" w:eastAsia="Calibri" w:hAnsi="Calibri"/>
          <w:b/>
          <w:bCs/>
          <w:sz w:val="22"/>
          <w:szCs w:val="22"/>
        </w:rPr>
        <w:t xml:space="preserve">14.3 AWS programme change relief.</w:t>
      </w:r>
      <w:r>
        <w:rPr>
          <w:rFonts w:ascii="Calibri" w:cs="Calibri" w:eastAsia="Calibri" w:hAnsi="Calibri"/>
          <w:sz w:val="22"/>
          <w:szCs w:val="22"/>
        </w:rPr>
        <w:t xml:space="preserve"> If clause 13.7 applies, the affected obligation is suspended, the Parties will meet within ten (10) Business Days to agree a change under clause 14.5, and if they have not agreed within thirty (30) days either Party may terminate the affected Engagement Order on thirty (30) days' notice with Client Fees pro-rated to the termination date and no termination liability on either side.</w:t>
      </w:r>
    </w:p>
    <w:p>
      <w:pPr>
        <w:spacing w:after="160" w:before="0" w:line="276"/>
        <w:jc w:val="both"/>
      </w:pPr>
      <w:r>
        <w:rPr>
          <w:rFonts w:ascii="Calibri" w:cs="Calibri" w:eastAsia="Calibri" w:hAnsi="Calibri"/>
          <w:b/>
          <w:bCs/>
          <w:sz w:val="22"/>
          <w:szCs w:val="22"/>
        </w:rPr>
        <w:t xml:space="preserve">14.4 Capacity test.</w:t>
      </w:r>
      <w:r>
        <w:rPr>
          <w:rFonts w:ascii="Calibri" w:cs="Calibri" w:eastAsia="Calibri" w:hAnsi="Calibri"/>
          <w:sz w:val="22"/>
          <w:szCs w:val="22"/>
        </w:rPr>
        <w:t xml:space="preserve"> The service levels in Schedule 4 and the Tier 3 roster in Schedule 1 have not been capacity tested. Neither Party will publish the Tier table to the market, and no Engagement Order may be executed at a Tier, until the capacity test described in Schedule 8 has been completed and passed for that Tier.</w:t>
      </w:r>
    </w:p>
    <w:p>
      <w:pPr>
        <w:spacing w:after="160" w:before="0" w:line="276"/>
        <w:jc w:val="both"/>
      </w:pPr>
      <w:r>
        <w:rPr>
          <w:rFonts w:ascii="Calibri" w:cs="Calibri" w:eastAsia="Calibri" w:hAnsi="Calibri"/>
          <w:b/>
          <w:bCs/>
          <w:sz w:val="22"/>
          <w:szCs w:val="22"/>
        </w:rPr>
        <w:t xml:space="preserve">14.5 Change control.</w:t>
      </w:r>
      <w:r>
        <w:rPr>
          <w:rFonts w:ascii="Calibri" w:cs="Calibri" w:eastAsia="Calibri" w:hAnsi="Calibri"/>
          <w:sz w:val="22"/>
          <w:szCs w:val="22"/>
        </w:rPr>
        <w:t xml:space="preserve"> Any change to the Services, the service levels, a Tier, the Schedules or the commercial terms takes effect only when recorded in a change order signed by both Parties, stating the change, its effect on the Services and its effect on the OBP Service Revenue. Neither Party is obliged to agree a change. Work outside the Services is chargeable at the rate card in Schedule 2.</w:t>
      </w:r>
    </w:p>
    <w:p>
      <w:pPr>
        <w:pStyle w:val="Heading2"/>
        <w:keepNext/>
        <w:spacing w:after="140" w:before="300"/>
      </w:pPr>
      <w:r>
        <w:rPr>
          <w:rFonts w:ascii="Calibri" w:cs="Calibri" w:eastAsia="Calibri" w:hAnsi="Calibri"/>
          <w:b/>
          <w:bCs/>
          <w:sz w:val="24"/>
          <w:szCs w:val="24"/>
        </w:rPr>
        <w:t xml:space="preserve">15. Non-Circumvention and Non-Solicitation</w:t>
      </w:r>
    </w:p>
    <w:p>
      <w:pPr>
        <w:spacing w:after="160" w:before="0" w:line="276"/>
        <w:jc w:val="both"/>
      </w:pPr>
      <w:r>
        <w:rPr>
          <w:rFonts w:ascii="Calibri" w:cs="Calibri" w:eastAsia="Calibri" w:hAnsi="Calibri"/>
          <w:b/>
          <w:bCs/>
          <w:sz w:val="22"/>
          <w:szCs w:val="22"/>
        </w:rPr>
        <w:t xml:space="preserve">15.1 Purpose.</w:t>
      </w:r>
      <w:r>
        <w:rPr>
          <w:rFonts w:ascii="Calibri" w:cs="Calibri" w:eastAsia="Calibri" w:hAnsi="Calibri"/>
          <w:sz w:val="22"/>
          <w:szCs w:val="22"/>
        </w:rPr>
        <w:t xml:space="preserve"> The Parties record that the appointment is non-exclusive, and that this clause 15 is the protection each Party receives in place of exclusivity. It is limited to Registered Clients and Recruited Partners and does not restrain either Party's business generally.</w:t>
      </w:r>
    </w:p>
    <w:p>
      <w:pPr>
        <w:spacing w:after="160" w:before="0" w:line="276"/>
        <w:jc w:val="both"/>
      </w:pPr>
      <w:r>
        <w:rPr>
          <w:rFonts w:ascii="Calibri" w:cs="Calibri" w:eastAsia="Calibri" w:hAnsi="Calibri"/>
          <w:b/>
          <w:bCs/>
          <w:sz w:val="22"/>
          <w:szCs w:val="22"/>
        </w:rPr>
        <w:t xml:space="preserve">15.2 Registered Clients.</w:t>
      </w:r>
      <w:r>
        <w:rPr>
          <w:rFonts w:ascii="Calibri" w:cs="Calibri" w:eastAsia="Calibri" w:hAnsi="Calibri"/>
          <w:sz w:val="22"/>
          <w:szCs w:val="22"/>
        </w:rPr>
        <w:t xml:space="preserve"> During the Term and for twenty four (24) months after the later of expiry and termination of the relevant Engagement Order, OBP will not, directly or indirectly:</w:t>
      </w:r>
    </w:p>
    <w:p>
      <w:pPr>
        <w:spacing w:after="80" w:before="60" w:line="276"/>
        <w:ind w:left="780" w:hanging="360"/>
      </w:pPr>
      <w:r>
        <w:rPr>
          <w:rFonts w:ascii="Calibri" w:cs="Calibri" w:eastAsia="Calibri" w:hAnsi="Calibri"/>
          <w:sz w:val="22"/>
          <w:szCs w:val="22"/>
        </w:rPr>
        <w:t xml:space="preserve">a.	solicit, accept or provide channel services of the kind comprised in the Services to a Registered Client or its affiliates;</w:t>
      </w:r>
    </w:p>
    <w:p>
      <w:pPr>
        <w:spacing w:after="80" w:before="60" w:line="276"/>
        <w:ind w:left="780" w:hanging="360"/>
      </w:pPr>
      <w:r>
        <w:rPr>
          <w:rFonts w:ascii="Calibri" w:cs="Calibri" w:eastAsia="Calibri" w:hAnsi="Calibri"/>
          <w:sz w:val="22"/>
          <w:szCs w:val="22"/>
        </w:rPr>
        <w:t xml:space="preserve">b.	assist any third party to do so; or</w:t>
      </w:r>
    </w:p>
    <w:p>
      <w:pPr>
        <w:spacing w:after="80" w:before="60" w:line="276"/>
        <w:ind w:left="780" w:hanging="360"/>
      </w:pPr>
      <w:r>
        <w:rPr>
          <w:rFonts w:ascii="Calibri" w:cs="Calibri" w:eastAsia="Calibri" w:hAnsi="Calibri"/>
          <w:sz w:val="22"/>
          <w:szCs w:val="22"/>
        </w:rPr>
        <w:t xml:space="preserve">c.	introduce a Registered Client to any other AWS Marketplace seller of record or prime provider for the purpose of that Client procuring services of the kind comprised in the Services.</w:t>
      </w:r>
    </w:p>
    <w:p>
      <w:pPr>
        <w:spacing w:after="160" w:before="0" w:line="276"/>
        <w:jc w:val="both"/>
      </w:pPr>
      <w:r>
        <w:rPr>
          <w:rFonts w:ascii="Calibri" w:cs="Calibri" w:eastAsia="Calibri" w:hAnsi="Calibri"/>
          <w:sz w:val="22"/>
          <w:szCs w:val="22"/>
        </w:rPr>
        <w:t xml:space="preserve">This clause does not apply to a Prior Relationship notified and evidenced under clause 4.4, to general marketing not targeted at Registered Clients, or to an approach initiated by the Registered Client where OBP declines it and notifies Automatum within five (5) Business Days.</w:t>
      </w:r>
    </w:p>
    <w:p>
      <w:pPr>
        <w:spacing w:after="160" w:before="0" w:line="276"/>
        <w:jc w:val="both"/>
      </w:pPr>
      <w:r>
        <w:rPr>
          <w:rFonts w:ascii="Calibri" w:cs="Calibri" w:eastAsia="Calibri" w:hAnsi="Calibri"/>
          <w:b/>
          <w:bCs/>
          <w:sz w:val="22"/>
          <w:szCs w:val="22"/>
        </w:rPr>
        <w:t xml:space="preserve">15.3 Recruited Partners.</w:t>
      </w:r>
      <w:r>
        <w:rPr>
          <w:rFonts w:ascii="Calibri" w:cs="Calibri" w:eastAsia="Calibri" w:hAnsi="Calibri"/>
          <w:sz w:val="22"/>
          <w:szCs w:val="22"/>
        </w:rPr>
        <w:t xml:space="preserve"> The Parties acknowledge that the population of AWS resellers is finite, that a reseller typically carries many vendor lines, and that a general restriction on OBP working with firms it has recruited would be unreasonable and would not protect a legitimate interest. Accordingly, OBP may work with any Recruited Partner on other engagements, provided that during the Term and for twelve (12) months afterwards OBP will not:</w:t>
      </w:r>
    </w:p>
    <w:p>
      <w:pPr>
        <w:spacing w:after="80" w:before="60" w:line="276"/>
        <w:ind w:left="780" w:hanging="360"/>
      </w:pPr>
      <w:r>
        <w:rPr>
          <w:rFonts w:ascii="Calibri" w:cs="Calibri" w:eastAsia="Calibri" w:hAnsi="Calibri"/>
          <w:sz w:val="22"/>
          <w:szCs w:val="22"/>
        </w:rPr>
        <w:t xml:space="preserve">a.	use Client Data to solicit any partner away from a Registered Client's channel;</w:t>
      </w:r>
    </w:p>
    <w:p>
      <w:pPr>
        <w:spacing w:after="80" w:before="60" w:line="276"/>
        <w:ind w:left="780" w:hanging="360"/>
      </w:pPr>
      <w:r>
        <w:rPr>
          <w:rFonts w:ascii="Calibri" w:cs="Calibri" w:eastAsia="Calibri" w:hAnsi="Calibri"/>
          <w:sz w:val="22"/>
          <w:szCs w:val="22"/>
        </w:rPr>
        <w:t xml:space="preserve">b.	procure or encourage a Recruited Partner to terminate or breach its agreement relating to a Registered Client's channel; or</w:t>
      </w:r>
    </w:p>
    <w:p>
      <w:pPr>
        <w:spacing w:after="80" w:before="60" w:line="276"/>
        <w:ind w:left="780" w:hanging="360"/>
      </w:pPr>
      <w:r>
        <w:rPr>
          <w:rFonts w:ascii="Calibri" w:cs="Calibri" w:eastAsia="Calibri" w:hAnsi="Calibri"/>
          <w:sz w:val="22"/>
          <w:szCs w:val="22"/>
        </w:rPr>
        <w:t xml:space="preserve">c.	introduce a Recruited Partner to a competing software provider in the same solution category as a Registered Client for the purpose of displacing that Client's product.</w:t>
      </w:r>
    </w:p>
    <w:p>
      <w:pPr>
        <w:spacing w:after="160" w:before="0" w:line="276"/>
        <w:jc w:val="both"/>
      </w:pPr>
      <w:r>
        <w:rPr>
          <w:rFonts w:ascii="Calibri" w:cs="Calibri" w:eastAsia="Calibri" w:hAnsi="Calibri"/>
          <w:b/>
          <w:bCs/>
          <w:sz w:val="22"/>
          <w:szCs w:val="22"/>
        </w:rPr>
        <w:t xml:space="preserve">15.4 Registry tail.</w:t>
      </w:r>
      <w:r>
        <w:rPr>
          <w:rFonts w:ascii="Calibri" w:cs="Calibri" w:eastAsia="Calibri" w:hAnsi="Calibri"/>
          <w:sz w:val="22"/>
          <w:szCs w:val="22"/>
        </w:rPr>
        <w:t xml:space="preserve"> For the purposes of clause 4.6, the tail period is the period in clause 15.2.</w:t>
      </w:r>
    </w:p>
    <w:p>
      <w:pPr>
        <w:spacing w:after="160" w:before="0" w:line="276"/>
        <w:jc w:val="both"/>
      </w:pPr>
      <w:r>
        <w:rPr>
          <w:rFonts w:ascii="Calibri" w:cs="Calibri" w:eastAsia="Calibri" w:hAnsi="Calibri"/>
          <w:b/>
          <w:bCs/>
          <w:sz w:val="22"/>
          <w:szCs w:val="22"/>
        </w:rPr>
        <w:t xml:space="preserve">15.5 Automatum's covenant.</w:t>
      </w:r>
      <w:r>
        <w:rPr>
          <w:rFonts w:ascii="Calibri" w:cs="Calibri" w:eastAsia="Calibri" w:hAnsi="Calibri"/>
          <w:sz w:val="22"/>
          <w:szCs w:val="22"/>
        </w:rPr>
        <w:t xml:space="preserve"> During the Term and for twelve (12) months after the later of expiry and termination of the relevant Engagement Order, Automatum will not provide services of the kind comprised in the Services to a Registered Client using OBP Materials outside the licence in clause 16.4, or using personnel recruited from OBP in breach of clause 15.6.</w:t>
      </w:r>
    </w:p>
    <w:p>
      <w:pPr>
        <w:spacing w:after="160" w:before="0" w:line="276"/>
        <w:jc w:val="both"/>
      </w:pPr>
      <w:r>
        <w:rPr>
          <w:rFonts w:ascii="Calibri" w:cs="Calibri" w:eastAsia="Calibri" w:hAnsi="Calibri"/>
          <w:b/>
          <w:bCs/>
          <w:sz w:val="22"/>
          <w:szCs w:val="22"/>
        </w:rPr>
        <w:t xml:space="preserve">15.6 Personnel.</w:t>
      </w:r>
      <w:r>
        <w:rPr>
          <w:rFonts w:ascii="Calibri" w:cs="Calibri" w:eastAsia="Calibri" w:hAnsi="Calibri"/>
          <w:sz w:val="22"/>
          <w:szCs w:val="22"/>
        </w:rPr>
        <w:t xml:space="preserve"> During the Term and for twelve (12) months after the later of expiry and termination of the relevant Engagement Order, neither Party will solicit for employment or engagement any employee or contractor of the other who was materially involved in the Services. This does not restrict general advertising not targeted at the other Party's personnel, responses to unsolicited applications, or the engagement of a person who ceased to be engaged by the other Party more than six (6) months earlier. A Party breaching this clause will pay the other thirty percent (30%) of the person's first year total compensation.</w:t>
      </w:r>
    </w:p>
    <w:p>
      <w:pPr>
        <w:spacing w:after="160" w:before="0" w:line="276"/>
        <w:jc w:val="both"/>
      </w:pPr>
      <w:r>
        <w:rPr>
          <w:rFonts w:ascii="Calibri" w:cs="Calibri" w:eastAsia="Calibri" w:hAnsi="Calibri"/>
          <w:b/>
          <w:bCs/>
          <w:sz w:val="22"/>
          <w:szCs w:val="22"/>
        </w:rPr>
        <w:t xml:space="preserve">15.7 Liquidated damages for circumvention.</w:t>
      </w:r>
      <w:r>
        <w:rPr>
          <w:rFonts w:ascii="Calibri" w:cs="Calibri" w:eastAsia="Calibri" w:hAnsi="Calibri"/>
          <w:sz w:val="22"/>
          <w:szCs w:val="22"/>
        </w:rPr>
        <w:t xml:space="preserve"> If OBP breaches clause 15.2 in respect of a Registered Client, OBP will pay Automatum thirty five thousand dollars ($35,000) for that Client. The Parties agree that Automatum's loss in that event is the loss of its Automatum Retention stream and the cost of re-sourcing delivery, that this amount is a reasonable estimate of that loss made at the time of contracting, and that the actual loss would be difficult to determine. The amount is not a penalty and is not measured against the gross Client Fees, which are not Automatum's loss.</w:t>
      </w:r>
    </w:p>
    <w:p>
      <w:pPr>
        <w:spacing w:after="160" w:before="0" w:line="276"/>
        <w:jc w:val="both"/>
      </w:pPr>
      <w:r>
        <w:rPr>
          <w:rFonts w:ascii="Calibri" w:cs="Calibri" w:eastAsia="Calibri" w:hAnsi="Calibri"/>
          <w:b/>
          <w:bCs/>
          <w:sz w:val="22"/>
          <w:szCs w:val="22"/>
        </w:rPr>
        <w:t xml:space="preserve">15.8 Injunctive relief.</w:t>
      </w:r>
      <w:r>
        <w:rPr>
          <w:rFonts w:ascii="Calibri" w:cs="Calibri" w:eastAsia="Calibri" w:hAnsi="Calibri"/>
          <w:sz w:val="22"/>
          <w:szCs w:val="22"/>
        </w:rPr>
        <w:t xml:space="preserve"> Each Party acknowledges that damages alone may not be an adequate remedy for breach of this clause 15 or of clause 17, and that the other Party may seek injunctive relief without proving actual damage and without posting a bond.</w:t>
      </w:r>
    </w:p>
    <w:p>
      <w:pPr>
        <w:spacing w:after="160" w:before="0" w:line="276"/>
        <w:jc w:val="both"/>
      </w:pPr>
      <w:r>
        <w:rPr>
          <w:rFonts w:ascii="Calibri" w:cs="Calibri" w:eastAsia="Calibri" w:hAnsi="Calibri"/>
          <w:b/>
          <w:bCs/>
          <w:sz w:val="22"/>
          <w:szCs w:val="22"/>
        </w:rPr>
        <w:t xml:space="preserve">15.9 Reasonableness.</w:t>
      </w:r>
      <w:r>
        <w:rPr>
          <w:rFonts w:ascii="Calibri" w:cs="Calibri" w:eastAsia="Calibri" w:hAnsi="Calibri"/>
          <w:sz w:val="22"/>
          <w:szCs w:val="22"/>
        </w:rPr>
        <w:t xml:space="preserve"> The Parties have negotiated this clause 15 as sophisticated commercial parties with the benefit of advice. If a court finds any restriction unreasonable in duration, scope or geography, the restriction applies with the minimum modification necessary to make it enforceable.</w:t>
      </w:r>
    </w:p>
    <w:p>
      <w:pPr>
        <w:pStyle w:val="Heading2"/>
        <w:keepNext/>
        <w:spacing w:after="140" w:before="300"/>
      </w:pPr>
      <w:r>
        <w:rPr>
          <w:rFonts w:ascii="Calibri" w:cs="Calibri" w:eastAsia="Calibri" w:hAnsi="Calibri"/>
          <w:b/>
          <w:bCs/>
          <w:sz w:val="24"/>
          <w:szCs w:val="24"/>
        </w:rPr>
        <w:t xml:space="preserve">16. Intellectual Property</w:t>
      </w:r>
    </w:p>
    <w:p>
      <w:pPr>
        <w:spacing w:after="160" w:before="0" w:line="276"/>
        <w:jc w:val="both"/>
      </w:pPr>
      <w:r>
        <w:rPr>
          <w:rFonts w:ascii="Calibri" w:cs="Calibri" w:eastAsia="Calibri" w:hAnsi="Calibri"/>
          <w:b/>
          <w:bCs/>
          <w:sz w:val="22"/>
          <w:szCs w:val="22"/>
        </w:rPr>
        <w:t xml:space="preserve">16.1 Background IP.</w:t>
      </w:r>
      <w:r>
        <w:rPr>
          <w:rFonts w:ascii="Calibri" w:cs="Calibri" w:eastAsia="Calibri" w:hAnsi="Calibri"/>
          <w:sz w:val="22"/>
          <w:szCs w:val="22"/>
        </w:rPr>
        <w:t xml:space="preserve"> Each Party retains all rights in intellectual property it owned before the Effective Date or develops independently of this Agreement.</w:t>
      </w:r>
    </w:p>
    <w:p>
      <w:pPr>
        <w:spacing w:after="160" w:before="0" w:line="276"/>
        <w:jc w:val="both"/>
      </w:pPr>
      <w:r>
        <w:rPr>
          <w:rFonts w:ascii="Calibri" w:cs="Calibri" w:eastAsia="Calibri" w:hAnsi="Calibri"/>
          <w:b/>
          <w:bCs/>
          <w:sz w:val="22"/>
          <w:szCs w:val="22"/>
        </w:rPr>
        <w:t xml:space="preserve">16.2 OBP Materials.</w:t>
      </w:r>
      <w:r>
        <w:rPr>
          <w:rFonts w:ascii="Calibri" w:cs="Calibri" w:eastAsia="Calibri" w:hAnsi="Calibri"/>
          <w:sz w:val="22"/>
          <w:szCs w:val="22"/>
        </w:rPr>
        <w:t xml:space="preserve"> OBP retains all rights in the OBP Materials, including the PSR, its methodologies, playbooks, templates and training content. Nothing in this Agreement transfers ownership of the OBP Materials.</w:t>
      </w:r>
    </w:p>
    <w:p>
      <w:pPr>
        <w:spacing w:after="160" w:before="0" w:line="276"/>
        <w:jc w:val="both"/>
      </w:pPr>
      <w:r>
        <w:rPr>
          <w:rFonts w:ascii="Calibri" w:cs="Calibri" w:eastAsia="Calibri" w:hAnsi="Calibri"/>
          <w:b/>
          <w:bCs/>
          <w:sz w:val="22"/>
          <w:szCs w:val="22"/>
        </w:rPr>
        <w:t xml:space="preserve">16.3 Automatum Brand.</w:t>
      </w:r>
      <w:r>
        <w:rPr>
          <w:rFonts w:ascii="Calibri" w:cs="Calibri" w:eastAsia="Calibri" w:hAnsi="Calibri"/>
          <w:sz w:val="22"/>
          <w:szCs w:val="22"/>
        </w:rPr>
        <w:t xml:space="preserve"> Automatum retains all rights in the Automatum Brand. Clause 7.1 governs OBP's use of it.</w:t>
      </w:r>
    </w:p>
    <w:p>
      <w:pPr>
        <w:spacing w:after="160" w:before="0" w:line="276"/>
        <w:jc w:val="both"/>
      </w:pPr>
      <w:r>
        <w:rPr>
          <w:rFonts w:ascii="Calibri" w:cs="Calibri" w:eastAsia="Calibri" w:hAnsi="Calibri"/>
          <w:b/>
          <w:bCs/>
          <w:sz w:val="22"/>
          <w:szCs w:val="22"/>
        </w:rPr>
        <w:t xml:space="preserve">16.4 Client-facing deliverables.</w:t>
      </w:r>
      <w:r>
        <w:rPr>
          <w:rFonts w:ascii="Calibri" w:cs="Calibri" w:eastAsia="Calibri" w:hAnsi="Calibri"/>
          <w:sz w:val="22"/>
          <w:szCs w:val="22"/>
        </w:rPr>
        <w:t xml:space="preserve"> OBP grants Automatum a perpetual, irrevocable, non-exclusive, worldwide, royalty-free, sublicensable licence to use, copy, modify and distribute the client-facing deliverables produced for a Registered Client under an Engagement Order, including that Client's partner agreements, margin schedule, enablement content, playbooks and reports, for that Client's own channel and for Automatum's performance of the relevant Client Agreement. This licence survives termination of this Agreement so that no Registered Client is left without the materials its channel runs on.</w:t>
      </w:r>
    </w:p>
    <w:p>
      <w:pPr>
        <w:spacing w:after="160" w:before="0" w:line="276"/>
        <w:jc w:val="both"/>
      </w:pPr>
      <w:r>
        <w:rPr>
          <w:rFonts w:ascii="Calibri" w:cs="Calibri" w:eastAsia="Calibri" w:hAnsi="Calibri"/>
          <w:b/>
          <w:bCs/>
          <w:sz w:val="22"/>
          <w:szCs w:val="22"/>
        </w:rPr>
        <w:t xml:space="preserve">16.5 Client Data.</w:t>
      </w:r>
      <w:r>
        <w:rPr>
          <w:rFonts w:ascii="Calibri" w:cs="Calibri" w:eastAsia="Calibri" w:hAnsi="Calibri"/>
          <w:sz w:val="22"/>
          <w:szCs w:val="22"/>
        </w:rPr>
        <w:t xml:space="preserve"> Clause 10.4 governs Client Data.</w:t>
      </w:r>
    </w:p>
    <w:p>
      <w:pPr>
        <w:spacing w:after="160" w:before="0" w:line="276"/>
        <w:jc w:val="both"/>
      </w:pPr>
      <w:r>
        <w:rPr>
          <w:rFonts w:ascii="Calibri" w:cs="Calibri" w:eastAsia="Calibri" w:hAnsi="Calibri"/>
          <w:b/>
          <w:bCs/>
          <w:sz w:val="22"/>
          <w:szCs w:val="22"/>
        </w:rPr>
        <w:t xml:space="preserve">16.6 Feedback.</w:t>
      </w:r>
      <w:r>
        <w:rPr>
          <w:rFonts w:ascii="Calibri" w:cs="Calibri" w:eastAsia="Calibri" w:hAnsi="Calibri"/>
          <w:sz w:val="22"/>
          <w:szCs w:val="22"/>
        </w:rPr>
        <w:t xml:space="preserve"> Each Party may use without restriction any suggestion or feedback the other gives about its products or services, without obligation.</w:t>
      </w:r>
    </w:p>
    <w:p>
      <w:pPr>
        <w:pStyle w:val="Heading2"/>
        <w:keepNext/>
        <w:spacing w:after="140" w:before="300"/>
      </w:pPr>
      <w:r>
        <w:rPr>
          <w:rFonts w:ascii="Calibri" w:cs="Calibri" w:eastAsia="Calibri" w:hAnsi="Calibri"/>
          <w:b/>
          <w:bCs/>
          <w:sz w:val="24"/>
          <w:szCs w:val="24"/>
        </w:rPr>
        <w:t xml:space="preserve">17. Confidentiality</w:t>
      </w:r>
    </w:p>
    <w:p>
      <w:pPr>
        <w:spacing w:after="160" w:before="0" w:line="276"/>
        <w:jc w:val="both"/>
      </w:pPr>
      <w:r>
        <w:rPr>
          <w:rFonts w:ascii="Calibri" w:cs="Calibri" w:eastAsia="Calibri" w:hAnsi="Calibri"/>
          <w:b/>
          <w:bCs/>
          <w:sz w:val="22"/>
          <w:szCs w:val="22"/>
        </w:rPr>
        <w:t xml:space="preserve">17.1 Definition.</w:t>
      </w:r>
      <w:r>
        <w:rPr>
          <w:rFonts w:ascii="Calibri" w:cs="Calibri" w:eastAsia="Calibri" w:hAnsi="Calibri"/>
          <w:sz w:val="22"/>
          <w:szCs w:val="22"/>
        </w:rPr>
        <w:t xml:space="preserve"> "Confidential Information" means non-public information disclosed by or on behalf of a Party that is identified as confidential or that a reasonable person would understand to be confidential. The Client Registry, the roster of Recruited Partners, the Client Data, the terms of this Agreement and each Engagement Order, and the existence and nature of OBP's role, are each Confidential Information.</w:t>
      </w:r>
    </w:p>
    <w:p>
      <w:pPr>
        <w:spacing w:after="160" w:before="0" w:line="276"/>
        <w:jc w:val="both"/>
      </w:pPr>
      <w:r>
        <w:rPr>
          <w:rFonts w:ascii="Calibri" w:cs="Calibri" w:eastAsia="Calibri" w:hAnsi="Calibri"/>
          <w:b/>
          <w:bCs/>
          <w:sz w:val="22"/>
          <w:szCs w:val="22"/>
        </w:rPr>
        <w:t xml:space="preserve">17.2 Obligations.</w:t>
      </w:r>
      <w:r>
        <w:rPr>
          <w:rFonts w:ascii="Calibri" w:cs="Calibri" w:eastAsia="Calibri" w:hAnsi="Calibri"/>
          <w:sz w:val="22"/>
          <w:szCs w:val="22"/>
        </w:rPr>
        <w:t xml:space="preserve"> The receiving Party will keep Confidential Information confidential, use it only to perform or enforce this Agreement, protect it with at least reasonable care, and disclose it only to its personnel, professional advisers and approved subcontractors who need it and are bound by equivalent obligations.</w:t>
      </w:r>
    </w:p>
    <w:p>
      <w:pPr>
        <w:spacing w:after="160" w:before="0" w:line="276"/>
        <w:jc w:val="both"/>
      </w:pPr>
      <w:r>
        <w:rPr>
          <w:rFonts w:ascii="Calibri" w:cs="Calibri" w:eastAsia="Calibri" w:hAnsi="Calibri"/>
          <w:b/>
          <w:bCs/>
          <w:sz w:val="22"/>
          <w:szCs w:val="22"/>
        </w:rPr>
        <w:t xml:space="preserve">17.3 Exceptions.</w:t>
      </w:r>
      <w:r>
        <w:rPr>
          <w:rFonts w:ascii="Calibri" w:cs="Calibri" w:eastAsia="Calibri" w:hAnsi="Calibri"/>
          <w:sz w:val="22"/>
          <w:szCs w:val="22"/>
        </w:rPr>
        <w:t xml:space="preserve"> The obligations do not apply to information that is or becomes public without breach, was lawfully known to the receiving Party without obligation before disclosure, is lawfully received from a third party without obligation, or is independently developed without use of the Confidential Information.</w:t>
      </w:r>
    </w:p>
    <w:p>
      <w:pPr>
        <w:spacing w:after="160" w:before="0" w:line="276"/>
        <w:jc w:val="both"/>
      </w:pPr>
      <w:r>
        <w:rPr>
          <w:rFonts w:ascii="Calibri" w:cs="Calibri" w:eastAsia="Calibri" w:hAnsi="Calibri"/>
          <w:b/>
          <w:bCs/>
          <w:sz w:val="22"/>
          <w:szCs w:val="22"/>
        </w:rPr>
        <w:t xml:space="preserve">17.4 Compelled disclosure.</w:t>
      </w:r>
      <w:r>
        <w:rPr>
          <w:rFonts w:ascii="Calibri" w:cs="Calibri" w:eastAsia="Calibri" w:hAnsi="Calibri"/>
          <w:sz w:val="22"/>
          <w:szCs w:val="22"/>
        </w:rPr>
        <w:t xml:space="preserve"> A Party may disclose Confidential Information to the extent required by law, regulation or court order, giving the other Party reasonable advance notice where lawfully permitted and disclosing only what is required.</w:t>
      </w:r>
    </w:p>
    <w:p>
      <w:pPr>
        <w:spacing w:after="160" w:before="0" w:line="276"/>
        <w:jc w:val="both"/>
      </w:pPr>
      <w:r>
        <w:rPr>
          <w:rFonts w:ascii="Calibri" w:cs="Calibri" w:eastAsia="Calibri" w:hAnsi="Calibri"/>
          <w:b/>
          <w:bCs/>
          <w:sz w:val="22"/>
          <w:szCs w:val="22"/>
        </w:rPr>
        <w:t xml:space="preserve">17.5 Duration.</w:t>
      </w:r>
      <w:r>
        <w:rPr>
          <w:rFonts w:ascii="Calibri" w:cs="Calibri" w:eastAsia="Calibri" w:hAnsi="Calibri"/>
          <w:sz w:val="22"/>
          <w:szCs w:val="22"/>
        </w:rPr>
        <w:t xml:space="preserve"> These obligations continue for five (5) years after termination, and indefinitely for Client Data, Personal Data and trade secrets for so long as they remain trade secrets.</w:t>
      </w:r>
    </w:p>
    <w:p>
      <w:pPr>
        <w:pStyle w:val="Heading2"/>
        <w:keepNext/>
        <w:spacing w:after="140" w:before="300"/>
      </w:pPr>
      <w:r>
        <w:rPr>
          <w:rFonts w:ascii="Calibri" w:cs="Calibri" w:eastAsia="Calibri" w:hAnsi="Calibri"/>
          <w:b/>
          <w:bCs/>
          <w:sz w:val="24"/>
          <w:szCs w:val="24"/>
        </w:rPr>
        <w:t xml:space="preserve">18. Data Protection and Security</w:t>
      </w:r>
    </w:p>
    <w:p>
      <w:pPr>
        <w:spacing w:after="160" w:before="0" w:line="276"/>
        <w:jc w:val="both"/>
      </w:pPr>
      <w:r>
        <w:rPr>
          <w:rFonts w:ascii="Calibri" w:cs="Calibri" w:eastAsia="Calibri" w:hAnsi="Calibri"/>
          <w:b/>
          <w:bCs/>
          <w:sz w:val="22"/>
          <w:szCs w:val="22"/>
        </w:rPr>
        <w:t xml:space="preserve">18.1 Roles.</w:t>
      </w:r>
      <w:r>
        <w:rPr>
          <w:rFonts w:ascii="Calibri" w:cs="Calibri" w:eastAsia="Calibri" w:hAnsi="Calibri"/>
          <w:sz w:val="22"/>
          <w:szCs w:val="22"/>
        </w:rPr>
        <w:t xml:space="preserve"> In respect of Personal Data in the Client Data, the Registered Client is the controller, Automatum acts on the Client's instructions, and OBP acts as a processor on Automatum's documented instructions. Schedule 5 Part C states the subject matter, duration, nature and purpose of the processing, the types of Personal Data and the categories of data subject.</w:t>
      </w:r>
    </w:p>
    <w:p>
      <w:pPr>
        <w:spacing w:after="160" w:before="0" w:line="276"/>
        <w:jc w:val="both"/>
      </w:pPr>
      <w:r>
        <w:rPr>
          <w:rFonts w:ascii="Calibri" w:cs="Calibri" w:eastAsia="Calibri" w:hAnsi="Calibri"/>
          <w:b/>
          <w:bCs/>
          <w:sz w:val="22"/>
          <w:szCs w:val="22"/>
        </w:rPr>
        <w:t xml:space="preserve">18.2 OBP's obligations.</w:t>
      </w:r>
      <w:r>
        <w:rPr>
          <w:rFonts w:ascii="Calibri" w:cs="Calibri" w:eastAsia="Calibri" w:hAnsi="Calibri"/>
          <w:sz w:val="22"/>
          <w:szCs w:val="22"/>
        </w:rPr>
        <w:t xml:space="preserve"> OBP will process Personal Data only on Automatum's documented instructions; ensure persons authorized to process it are bound by confidentiality; implement the technical and organizational security measures in Schedule 5 Part C; assist Automatum with data subject requests, security, breach notification and impact assessments; and on termination return or delete Personal Data at Automatum's election, certifying deletion.</w:t>
      </w:r>
    </w:p>
    <w:p>
      <w:pPr>
        <w:spacing w:after="160" w:before="0" w:line="276"/>
        <w:jc w:val="both"/>
      </w:pPr>
      <w:r>
        <w:rPr>
          <w:rFonts w:ascii="Calibri" w:cs="Calibri" w:eastAsia="Calibri" w:hAnsi="Calibri"/>
          <w:b/>
          <w:bCs/>
          <w:sz w:val="22"/>
          <w:szCs w:val="22"/>
        </w:rPr>
        <w:t xml:space="preserve">18.3 Subprocessors.</w:t>
      </w:r>
      <w:r>
        <w:rPr>
          <w:rFonts w:ascii="Calibri" w:cs="Calibri" w:eastAsia="Calibri" w:hAnsi="Calibri"/>
          <w:sz w:val="22"/>
          <w:szCs w:val="22"/>
        </w:rPr>
        <w:t xml:space="preserve"> OBP may engage subprocessors only from the list in Schedule 5 Part C or with Automatum's prior written consent, will impose equivalent obligations on them, and remains liable for their acts and omissions. OBP will give Automatum thirty (30) days' notice of any proposed addition or replacement, and Automatum may object on reasonable grounds.</w:t>
      </w:r>
    </w:p>
    <w:p>
      <w:pPr>
        <w:spacing w:after="160" w:before="0" w:line="276"/>
        <w:jc w:val="both"/>
      </w:pPr>
      <w:r>
        <w:rPr>
          <w:rFonts w:ascii="Calibri" w:cs="Calibri" w:eastAsia="Calibri" w:hAnsi="Calibri"/>
          <w:b/>
          <w:bCs/>
          <w:sz w:val="22"/>
          <w:szCs w:val="22"/>
        </w:rPr>
        <w:t xml:space="preserve">18.4 Security incidents.</w:t>
      </w:r>
      <w:r>
        <w:rPr>
          <w:rFonts w:ascii="Calibri" w:cs="Calibri" w:eastAsia="Calibri" w:hAnsi="Calibri"/>
          <w:sz w:val="22"/>
          <w:szCs w:val="22"/>
        </w:rPr>
        <w:t xml:space="preserve"> OBP will notify Automatum without undue delay and in any event within twenty four (24) hours of becoming aware of a security incident affecting Client Data or Personal Data, and will provide the information Automatum needs to meet its own notification obligations.</w:t>
      </w:r>
    </w:p>
    <w:p>
      <w:pPr>
        <w:spacing w:after="160" w:before="0" w:line="276"/>
        <w:jc w:val="both"/>
      </w:pPr>
      <w:r>
        <w:rPr>
          <w:rFonts w:ascii="Calibri" w:cs="Calibri" w:eastAsia="Calibri" w:hAnsi="Calibri"/>
          <w:b/>
          <w:bCs/>
          <w:sz w:val="22"/>
          <w:szCs w:val="22"/>
        </w:rPr>
        <w:t xml:space="preserve">18.5 Compliance.</w:t>
      </w:r>
      <w:r>
        <w:rPr>
          <w:rFonts w:ascii="Calibri" w:cs="Calibri" w:eastAsia="Calibri" w:hAnsi="Calibri"/>
          <w:sz w:val="22"/>
          <w:szCs w:val="22"/>
        </w:rPr>
        <w:t xml:space="preserve"> Each Party will comply with Privacy Law applicable to it. If a Privacy Law requires a further data processing agreement or transfer mechanism, the Parties will execute it promptly.</w:t>
      </w:r>
    </w:p>
    <w:p>
      <w:pPr>
        <w:spacing w:after="160" w:before="0" w:line="276"/>
        <w:jc w:val="both"/>
      </w:pPr>
      <w:r>
        <w:rPr>
          <w:rFonts w:ascii="Calibri" w:cs="Calibri" w:eastAsia="Calibri" w:hAnsi="Calibri"/>
          <w:b/>
          <w:bCs/>
          <w:sz w:val="22"/>
          <w:szCs w:val="22"/>
        </w:rPr>
        <w:t xml:space="preserve">18.6 Security measures.</w:t>
      </w:r>
      <w:r>
        <w:rPr>
          <w:rFonts w:ascii="Calibri" w:cs="Calibri" w:eastAsia="Calibri" w:hAnsi="Calibri"/>
          <w:sz w:val="22"/>
          <w:szCs w:val="22"/>
        </w:rPr>
        <w:t xml:space="preserve"> OBP will maintain the security controls in Schedule 5 Part C, including access control, encryption in transit and at rest, logging, vulnerability management and personnel screening, and will not materially reduce them during the Term.</w:t>
      </w:r>
    </w:p>
    <w:p>
      <w:pPr>
        <w:pStyle w:val="Heading2"/>
        <w:keepNext/>
        <w:spacing w:after="140" w:before="300"/>
      </w:pPr>
      <w:r>
        <w:rPr>
          <w:rFonts w:ascii="Calibri" w:cs="Calibri" w:eastAsia="Calibri" w:hAnsi="Calibri"/>
          <w:b/>
          <w:bCs/>
          <w:sz w:val="24"/>
          <w:szCs w:val="24"/>
        </w:rPr>
        <w:t xml:space="preserve">19. Warranties</w:t>
      </w:r>
    </w:p>
    <w:p>
      <w:pPr>
        <w:spacing w:after="160" w:before="0" w:line="276"/>
        <w:jc w:val="both"/>
      </w:pPr>
      <w:r>
        <w:rPr>
          <w:rFonts w:ascii="Calibri" w:cs="Calibri" w:eastAsia="Calibri" w:hAnsi="Calibri"/>
          <w:b/>
          <w:bCs/>
          <w:sz w:val="22"/>
          <w:szCs w:val="22"/>
        </w:rPr>
        <w:t xml:space="preserve">19.1 Mutual.</w:t>
      </w:r>
      <w:r>
        <w:rPr>
          <w:rFonts w:ascii="Calibri" w:cs="Calibri" w:eastAsia="Calibri" w:hAnsi="Calibri"/>
          <w:sz w:val="22"/>
          <w:szCs w:val="22"/>
        </w:rPr>
        <w:t xml:space="preserve"> Each Party warrants that it is duly organized and validly existing, that it has full power and authority to enter into and perform this Agreement, and that this Agreement is a legal, valid and binding obligation enforceable against it.</w:t>
      </w:r>
    </w:p>
    <w:p>
      <w:pPr>
        <w:spacing w:after="160" w:before="0" w:line="276"/>
        <w:jc w:val="both"/>
      </w:pPr>
      <w:r>
        <w:rPr>
          <w:rFonts w:ascii="Calibri" w:cs="Calibri" w:eastAsia="Calibri" w:hAnsi="Calibri"/>
          <w:b/>
          <w:bCs/>
          <w:sz w:val="22"/>
          <w:szCs w:val="22"/>
        </w:rPr>
        <w:t xml:space="preserve">19.2 OBP.</w:t>
      </w:r>
      <w:r>
        <w:rPr>
          <w:rFonts w:ascii="Calibri" w:cs="Calibri" w:eastAsia="Calibri" w:hAnsi="Calibri"/>
          <w:sz w:val="22"/>
          <w:szCs w:val="22"/>
        </w:rPr>
        <w:t xml:space="preserve"> OBP warrants that it will perform the Services with reasonable skill and care and in accordance with good industry practice; that its personnel are suitably skilled, qualified and experienced; that clause 10.2 is accurate; and that the Services and the OBP Materials do not infringe any third party's intellectual property rights.</w:t>
      </w:r>
    </w:p>
    <w:p>
      <w:pPr>
        <w:spacing w:after="160" w:before="0" w:line="276"/>
        <w:jc w:val="both"/>
      </w:pPr>
      <w:r>
        <w:rPr>
          <w:rFonts w:ascii="Calibri" w:cs="Calibri" w:eastAsia="Calibri" w:hAnsi="Calibri"/>
          <w:b/>
          <w:bCs/>
          <w:sz w:val="22"/>
          <w:szCs w:val="22"/>
        </w:rPr>
        <w:t xml:space="preserve">19.3 Automatum.</w:t>
      </w:r>
      <w:r>
        <w:rPr>
          <w:rFonts w:ascii="Calibri" w:cs="Calibri" w:eastAsia="Calibri" w:hAnsi="Calibri"/>
          <w:sz w:val="22"/>
          <w:szCs w:val="22"/>
        </w:rPr>
        <w:t xml:space="preserve"> Automatum warrants that it holds and will maintain the listing, the seller of record registration, the AWS Partner Network status and the entitlements described in clause 6.1; that it has the right to grant the licence in clause 7.1; and that each Client Agreement for a Registered Client complies with clause 6.5.</w:t>
      </w:r>
    </w:p>
    <w:p>
      <w:pPr>
        <w:spacing w:after="160" w:before="0" w:line="276"/>
        <w:jc w:val="both"/>
      </w:pPr>
      <w:r>
        <w:rPr>
          <w:rFonts w:ascii="Calibri" w:cs="Calibri" w:eastAsia="Calibri" w:hAnsi="Calibri"/>
          <w:b/>
          <w:bCs/>
          <w:sz w:val="22"/>
          <w:szCs w:val="22"/>
        </w:rPr>
        <w:t xml:space="preserve">19.4 Compliance covenant.</w:t>
      </w:r>
      <w:r>
        <w:rPr>
          <w:rFonts w:ascii="Calibri" w:cs="Calibri" w:eastAsia="Calibri" w:hAnsi="Calibri"/>
          <w:sz w:val="22"/>
          <w:szCs w:val="22"/>
        </w:rPr>
        <w:t xml:space="preserve"> Each Party will comply with applicable anti-bribery and anti-corruption laws including the United States Foreign Corrupt Practices Act, with applicable sanctions and export control laws, and with applicable modern slavery laws. OBP will apply the partner due diligence criteria in Schedule 1 before onboarding a Recruited Partner, will not onboard a partner owned or controlled by a government official without Automatum's prior written consent, and will maintain records of commission payments available to audit under clause 12.5. The Parties record that a programme recruiting resellers across multiple jurisdictions and paying them commissions carries intermediary risk that this clause is intended to manage.</w:t>
      </w:r>
    </w:p>
    <w:p>
      <w:pPr>
        <w:spacing w:after="160" w:before="0" w:line="276"/>
        <w:jc w:val="both"/>
      </w:pPr>
      <w:r>
        <w:rPr>
          <w:rFonts w:ascii="Calibri" w:cs="Calibri" w:eastAsia="Calibri" w:hAnsi="Calibri"/>
          <w:b/>
          <w:bCs/>
          <w:sz w:val="22"/>
          <w:szCs w:val="22"/>
        </w:rPr>
        <w:t xml:space="preserve">19.5 Disclaimer.</w:t>
      </w:r>
      <w:r>
        <w:rPr>
          <w:rFonts w:ascii="Calibri" w:cs="Calibri" w:eastAsia="Calibri" w:hAnsi="Calibri"/>
          <w:sz w:val="22"/>
          <w:szCs w:val="22"/>
        </w:rPr>
        <w:t xml:space="preserve"> EXCEPT AS EXPRESSLY SET OUT IN THIS AGREEMENT, EACH PARTY DISCLAIMS ALL WARRANTIES, EXPRESS, IMPLIED OR STATUTORY, INCLUDING ANY IMPLIED WARRANTY OF MERCHANTABILITY, FITNESS FOR A PARTICULAR PURPOSE, OR NON-INFRINGEMENT. NEITHER PARTY WARRANTS ANY OUTCOME, INCLUDING ANY NUMBER OF PARTNERS RECRUITED, AUTHORIZED, ISSUING OFFERS OR TRANSACTING, OR ANY LEVEL OF REVENUE.</w:t>
      </w:r>
    </w:p>
    <w:p>
      <w:pPr>
        <w:pStyle w:val="Heading2"/>
        <w:keepNext/>
        <w:spacing w:after="140" w:before="300"/>
      </w:pPr>
      <w:r>
        <w:rPr>
          <w:rFonts w:ascii="Calibri" w:cs="Calibri" w:eastAsia="Calibri" w:hAnsi="Calibri"/>
          <w:b/>
          <w:bCs/>
          <w:sz w:val="24"/>
          <w:szCs w:val="24"/>
        </w:rPr>
        <w:t xml:space="preserve">20. Indemnities</w:t>
      </w:r>
    </w:p>
    <w:p>
      <w:pPr>
        <w:spacing w:after="160" w:before="0" w:line="276"/>
        <w:jc w:val="both"/>
      </w:pPr>
      <w:r>
        <w:rPr>
          <w:rFonts w:ascii="Calibri" w:cs="Calibri" w:eastAsia="Calibri" w:hAnsi="Calibri"/>
          <w:b/>
          <w:bCs/>
          <w:sz w:val="22"/>
          <w:szCs w:val="22"/>
        </w:rPr>
        <w:t xml:space="preserve">20.1 OBP indemnity.</w:t>
      </w:r>
      <w:r>
        <w:rPr>
          <w:rFonts w:ascii="Calibri" w:cs="Calibri" w:eastAsia="Calibri" w:hAnsi="Calibri"/>
          <w:sz w:val="22"/>
          <w:szCs w:val="22"/>
        </w:rPr>
        <w:t xml:space="preserve"> OBP will defend Automatum against any third party claim, and indemnify it against Losses finally awarded or agreed in settlement, arising from: infringement of intellectual property rights by the Services or the OBP Materials; OBP's breach of clause 18; OBP's breach of an AWS Program Term; OBP's breach of clause 15; and any claim by OBP's personnel that they are or were employed by Automatum.</w:t>
      </w:r>
    </w:p>
    <w:p>
      <w:pPr>
        <w:spacing w:after="160" w:before="0" w:line="276"/>
        <w:jc w:val="both"/>
      </w:pPr>
      <w:r>
        <w:rPr>
          <w:rFonts w:ascii="Calibri" w:cs="Calibri" w:eastAsia="Calibri" w:hAnsi="Calibri"/>
          <w:b/>
          <w:bCs/>
          <w:sz w:val="22"/>
          <w:szCs w:val="22"/>
        </w:rPr>
        <w:t xml:space="preserve">20.2 Automatum indemnity.</w:t>
      </w:r>
      <w:r>
        <w:rPr>
          <w:rFonts w:ascii="Calibri" w:cs="Calibri" w:eastAsia="Calibri" w:hAnsi="Calibri"/>
          <w:sz w:val="22"/>
          <w:szCs w:val="22"/>
        </w:rPr>
        <w:t xml:space="preserve"> Automatum will defend OBP against any third party claim, and indemnify it against Losses finally awarded or agreed in settlement, arising from: Automatum's breach of clause 6.5 or clause 6.6, including any commitment Automatum made to a Client beyond Schedule 1 and Schedule 4; Automatum's loss of, or a defect in, its listing, seller of record position or AWS Partner Network entitlements; infringement of intellectual property rights by the Automatum Brand; and Automatum's breach of an AWS Program Term.</w:t>
      </w:r>
    </w:p>
    <w:p>
      <w:pPr>
        <w:spacing w:after="160" w:before="0" w:line="276"/>
        <w:jc w:val="both"/>
      </w:pPr>
      <w:r>
        <w:rPr>
          <w:rFonts w:ascii="Calibri" w:cs="Calibri" w:eastAsia="Calibri" w:hAnsi="Calibri"/>
          <w:b/>
          <w:bCs/>
          <w:sz w:val="22"/>
          <w:szCs w:val="22"/>
        </w:rPr>
        <w:t xml:space="preserve">20.3 Conduct.</w:t>
      </w:r>
      <w:r>
        <w:rPr>
          <w:rFonts w:ascii="Calibri" w:cs="Calibri" w:eastAsia="Calibri" w:hAnsi="Calibri"/>
          <w:sz w:val="22"/>
          <w:szCs w:val="22"/>
        </w:rPr>
        <w:t xml:space="preserve"> The indemnified Party will notify the indemnifying Party promptly, give it sole control of the defence and settlement, and give reasonable cooperation at the indemnifying Party's cost. The indemnifying Party will not settle in a way that imposes a non-indemnified obligation or an admission of liability on the indemnified Party without its consent. Failure to notify promptly reduces the indemnity only to the extent of resulting prejudice.</w:t>
      </w:r>
    </w:p>
    <w:p>
      <w:pPr>
        <w:pStyle w:val="Heading2"/>
        <w:keepNext/>
        <w:spacing w:after="140" w:before="300"/>
      </w:pPr>
      <w:r>
        <w:rPr>
          <w:rFonts w:ascii="Calibri" w:cs="Calibri" w:eastAsia="Calibri" w:hAnsi="Calibri"/>
          <w:b/>
          <w:bCs/>
          <w:sz w:val="24"/>
          <w:szCs w:val="24"/>
        </w:rPr>
        <w:t xml:space="preserve">21. Limitation of Liability</w:t>
      </w:r>
    </w:p>
    <w:p>
      <w:pPr>
        <w:spacing w:after="160" w:before="0" w:line="276"/>
        <w:jc w:val="both"/>
      </w:pPr>
      <w:r>
        <w:rPr>
          <w:rFonts w:ascii="Calibri" w:cs="Calibri" w:eastAsia="Calibri" w:hAnsi="Calibri"/>
          <w:b/>
          <w:bCs/>
          <w:sz w:val="22"/>
          <w:szCs w:val="22"/>
        </w:rPr>
        <w:t xml:space="preserve">21.1 Uncapped.</w:t>
      </w:r>
      <w:r>
        <w:rPr>
          <w:rFonts w:ascii="Calibri" w:cs="Calibri" w:eastAsia="Calibri" w:hAnsi="Calibri"/>
          <w:sz w:val="22"/>
          <w:szCs w:val="22"/>
        </w:rPr>
        <w:t xml:space="preserve"> Nothing in this Agreement limits either Party's liability for death or personal injury caused by its negligence, for fraud or fraudulent misrepresentation, or for any liability that cannot lawfully be limited.</w:t>
      </w:r>
    </w:p>
    <w:p>
      <w:pPr>
        <w:spacing w:after="160" w:before="0" w:line="276"/>
        <w:jc w:val="both"/>
      </w:pPr>
      <w:r>
        <w:rPr>
          <w:rFonts w:ascii="Calibri" w:cs="Calibri" w:eastAsia="Calibri" w:hAnsi="Calibri"/>
          <w:b/>
          <w:bCs/>
          <w:sz w:val="22"/>
          <w:szCs w:val="22"/>
        </w:rPr>
        <w:t xml:space="preserve">21.2 Excluded losses.</w:t>
      </w:r>
      <w:r>
        <w:rPr>
          <w:rFonts w:ascii="Calibri" w:cs="Calibri" w:eastAsia="Calibri" w:hAnsi="Calibri"/>
          <w:sz w:val="22"/>
          <w:szCs w:val="22"/>
        </w:rPr>
        <w:t xml:space="preserve"> Subject to clauses 21.1 and 21.4, neither Party is liable for indirect, incidental, special, punitive or consequential loss, or for loss of profit, revenue, anticipated savings, goodwill or business opportunity, however arising.</w:t>
      </w:r>
    </w:p>
    <w:p>
      <w:pPr>
        <w:spacing w:after="160" w:before="0" w:line="276"/>
        <w:jc w:val="both"/>
      </w:pPr>
      <w:r>
        <w:rPr>
          <w:rFonts w:ascii="Calibri" w:cs="Calibri" w:eastAsia="Calibri" w:hAnsi="Calibri"/>
          <w:b/>
          <w:bCs/>
          <w:sz w:val="22"/>
          <w:szCs w:val="22"/>
        </w:rPr>
        <w:t xml:space="preserve">21.3 Cap.</w:t>
      </w:r>
      <w:r>
        <w:rPr>
          <w:rFonts w:ascii="Calibri" w:cs="Calibri" w:eastAsia="Calibri" w:hAnsi="Calibri"/>
          <w:sz w:val="22"/>
          <w:szCs w:val="22"/>
        </w:rPr>
        <w:t xml:space="preserve"> Subject to clauses 21.1 and 21.4, each Party's total aggregate liability arising out of or in connection with this Agreement is limited, per Engagement Order, to the greater of (a) one hundred percent (100%) of the OBP Service Revenue paid and payable for that Engagement Order in the twelve (12) months before the event giving rise to the liability, and (b) fifty thousand dollars ($50,000).</w:t>
      </w:r>
    </w:p>
    <w:p>
      <w:pPr>
        <w:spacing w:after="160" w:before="0" w:line="276"/>
        <w:jc w:val="both"/>
      </w:pPr>
      <w:r>
        <w:rPr>
          <w:rFonts w:ascii="Calibri" w:cs="Calibri" w:eastAsia="Calibri" w:hAnsi="Calibri"/>
          <w:b/>
          <w:bCs/>
          <w:sz w:val="22"/>
          <w:szCs w:val="22"/>
        </w:rPr>
        <w:t xml:space="preserve">21.4 Super-cap.</w:t>
      </w:r>
      <w:r>
        <w:rPr>
          <w:rFonts w:ascii="Calibri" w:cs="Calibri" w:eastAsia="Calibri" w:hAnsi="Calibri"/>
          <w:sz w:val="22"/>
          <w:szCs w:val="22"/>
        </w:rPr>
        <w:t xml:space="preserve"> Liability under clause 20.1 and clause 20.2, and liability for breach of clause 15, clause 17 or clause 18, is limited to the greater of (a) two hundred percent (200%) of the OBP Service Revenue paid and payable in the twelve (12) months before the event, and (b) two hundred fifty thousand dollars ($250,000).</w:t>
      </w:r>
    </w:p>
    <w:p>
      <w:pPr>
        <w:spacing w:after="160" w:before="0" w:line="276"/>
        <w:jc w:val="both"/>
      </w:pPr>
      <w:r>
        <w:rPr>
          <w:rFonts w:ascii="Calibri" w:cs="Calibri" w:eastAsia="Calibri" w:hAnsi="Calibri"/>
          <w:b/>
          <w:bCs/>
          <w:sz w:val="22"/>
          <w:szCs w:val="22"/>
        </w:rPr>
        <w:t xml:space="preserve">21.5 Direct loss carve-back.</w:t>
      </w:r>
      <w:r>
        <w:rPr>
          <w:rFonts w:ascii="Calibri" w:cs="Calibri" w:eastAsia="Calibri" w:hAnsi="Calibri"/>
          <w:sz w:val="22"/>
          <w:szCs w:val="22"/>
        </w:rPr>
        <w:t xml:space="preserve"> Notwithstanding clause 21.2, the following are recoverable as direct loss: Service Credits Automatum is required to give a Registered Client, to the extent they flow down under clause 8.4 and within the caps in clause 8.5; the cost of procuring replacement services following OBP's default, up to the cap in clause 21.3; and amounts payable under clause 15.6 and clause 15.7. Without this clause the flow-down in clause 8.4 would be vulnerable to characterization as an excluded loss.</w:t>
      </w:r>
    </w:p>
    <w:p>
      <w:pPr>
        <w:spacing w:after="160" w:before="0" w:line="276"/>
        <w:jc w:val="both"/>
      </w:pPr>
      <w:r>
        <w:rPr>
          <w:rFonts w:ascii="Calibri" w:cs="Calibri" w:eastAsia="Calibri" w:hAnsi="Calibri"/>
          <w:b/>
          <w:bCs/>
          <w:sz w:val="22"/>
          <w:szCs w:val="22"/>
        </w:rPr>
        <w:t xml:space="preserve">21.6 Fees.</w:t>
      </w:r>
      <w:r>
        <w:rPr>
          <w:rFonts w:ascii="Calibri" w:cs="Calibri" w:eastAsia="Calibri" w:hAnsi="Calibri"/>
          <w:sz w:val="22"/>
          <w:szCs w:val="22"/>
        </w:rPr>
        <w:t xml:space="preserve"> Amounts properly payable for the Services are not subject to the caps in this clause 21.</w:t>
      </w:r>
    </w:p>
    <w:p>
      <w:pPr>
        <w:pStyle w:val="Heading2"/>
        <w:keepNext/>
        <w:spacing w:after="140" w:before="300"/>
      </w:pPr>
      <w:r>
        <w:rPr>
          <w:rFonts w:ascii="Calibri" w:cs="Calibri" w:eastAsia="Calibri" w:hAnsi="Calibri"/>
          <w:b/>
          <w:bCs/>
          <w:sz w:val="24"/>
          <w:szCs w:val="24"/>
        </w:rPr>
        <w:t xml:space="preserve">22. Insurance</w:t>
      </w:r>
    </w:p>
    <w:p>
      <w:pPr>
        <w:spacing w:after="160" w:before="0" w:line="276"/>
        <w:jc w:val="both"/>
      </w:pPr>
      <w:r>
        <w:rPr>
          <w:rFonts w:ascii="Calibri" w:cs="Calibri" w:eastAsia="Calibri" w:hAnsi="Calibri"/>
          <w:b/>
          <w:bCs/>
          <w:sz w:val="22"/>
          <w:szCs w:val="22"/>
        </w:rPr>
        <w:t xml:space="preserve">22.1</w:t>
      </w:r>
      <w:r>
        <w:rPr>
          <w:rFonts w:ascii="Calibri" w:cs="Calibri" w:eastAsia="Calibri" w:hAnsi="Calibri"/>
          <w:sz w:val="22"/>
          <w:szCs w:val="22"/>
        </w:rPr>
        <w:t xml:space="preserve"> OBP will maintain, with insurers of good standing, commercial general liability, professional indemnity or errors and omissions, cyber liability, and employer's liability insurance, each with the limit stated in Schedule 8, for the Term and for two (2) years afterwards.</w:t>
      </w:r>
    </w:p>
    <w:p>
      <w:pPr>
        <w:spacing w:after="160" w:before="0" w:line="276"/>
        <w:jc w:val="both"/>
      </w:pPr>
      <w:r>
        <w:rPr>
          <w:rFonts w:ascii="Calibri" w:cs="Calibri" w:eastAsia="Calibri" w:hAnsi="Calibri"/>
          <w:b/>
          <w:bCs/>
          <w:sz w:val="22"/>
          <w:szCs w:val="22"/>
        </w:rPr>
        <w:t xml:space="preserve">22.2</w:t>
      </w:r>
      <w:r>
        <w:rPr>
          <w:rFonts w:ascii="Calibri" w:cs="Calibri" w:eastAsia="Calibri" w:hAnsi="Calibri"/>
          <w:sz w:val="22"/>
          <w:szCs w:val="22"/>
        </w:rPr>
        <w:t xml:space="preserve"> OBP will provide certificates of insurance on request and will notify Automatum promptly if any required cover lapses or is materially reduced.</w:t>
      </w:r>
    </w:p>
    <w:p>
      <w:pPr>
        <w:pStyle w:val="Heading2"/>
        <w:keepNext/>
        <w:spacing w:after="140" w:before="300"/>
      </w:pPr>
      <w:r>
        <w:rPr>
          <w:rFonts w:ascii="Calibri" w:cs="Calibri" w:eastAsia="Calibri" w:hAnsi="Calibri"/>
          <w:b/>
          <w:bCs/>
          <w:sz w:val="24"/>
          <w:szCs w:val="24"/>
        </w:rPr>
        <w:t xml:space="preserve">23. Term and Termination</w:t>
      </w:r>
    </w:p>
    <w:p>
      <w:pPr>
        <w:spacing w:after="160" w:before="0" w:line="276"/>
        <w:jc w:val="both"/>
      </w:pPr>
      <w:r>
        <w:rPr>
          <w:rFonts w:ascii="Calibri" w:cs="Calibri" w:eastAsia="Calibri" w:hAnsi="Calibri"/>
          <w:b/>
          <w:bCs/>
          <w:sz w:val="22"/>
          <w:szCs w:val="22"/>
        </w:rPr>
        <w:t xml:space="preserve">23.1 Term.</w:t>
      </w:r>
      <w:r>
        <w:rPr>
          <w:rFonts w:ascii="Calibri" w:cs="Calibri" w:eastAsia="Calibri" w:hAnsi="Calibri"/>
          <w:sz w:val="22"/>
          <w:szCs w:val="22"/>
        </w:rPr>
        <w:t xml:space="preserve"> This Agreement begins on the Effective Date and continues for twenty four (24) months (the "Initial Term"), then renews automatically for successive twelve (12) month periods unless either Party gives ninety (90) days' notice before the end of the then current period. The Initial Term is set longer than a twelve (12) month Engagement so that an Engagement Order executed late in the Initial Term can run to its natural expiry. The Term means the Initial Term together with any renewal.</w:t>
      </w:r>
    </w:p>
    <w:p>
      <w:pPr>
        <w:spacing w:after="160" w:before="0" w:line="276"/>
        <w:jc w:val="both"/>
      </w:pPr>
      <w:r>
        <w:rPr>
          <w:rFonts w:ascii="Calibri" w:cs="Calibri" w:eastAsia="Calibri" w:hAnsi="Calibri"/>
          <w:b/>
          <w:bCs/>
          <w:sz w:val="22"/>
          <w:szCs w:val="22"/>
        </w:rPr>
        <w:t xml:space="preserve">23.2 No orphaning.</w:t>
      </w:r>
      <w:r>
        <w:rPr>
          <w:rFonts w:ascii="Calibri" w:cs="Calibri" w:eastAsia="Calibri" w:hAnsi="Calibri"/>
          <w:sz w:val="22"/>
          <w:szCs w:val="22"/>
        </w:rPr>
        <w:t xml:space="preserve"> Expiry or termination of this Agreement does not terminate an Engagement Order then in effect. Each such Engagement Order continues to its natural expiry, and this Agreement continues to govern it, unless the Engagement Order is itself terminated under this clause 23.</w:t>
      </w:r>
    </w:p>
    <w:p>
      <w:pPr>
        <w:spacing w:after="160" w:before="0" w:line="276"/>
        <w:jc w:val="both"/>
      </w:pPr>
      <w:r>
        <w:rPr>
          <w:rFonts w:ascii="Calibri" w:cs="Calibri" w:eastAsia="Calibri" w:hAnsi="Calibri"/>
          <w:b/>
          <w:bCs/>
          <w:sz w:val="22"/>
          <w:szCs w:val="22"/>
        </w:rPr>
        <w:t xml:space="preserve">23.3 Termination for convenience.</w:t>
      </w:r>
      <w:r>
        <w:rPr>
          <w:rFonts w:ascii="Calibri" w:cs="Calibri" w:eastAsia="Calibri" w:hAnsi="Calibri"/>
          <w:sz w:val="22"/>
          <w:szCs w:val="22"/>
        </w:rPr>
        <w:t xml:space="preserve"> Either Party may terminate this Agreement for convenience on ninety (90) days' notice. Clause 23.2 applies, so termination stops new Engagement Orders but does not end existing ones.</w:t>
      </w:r>
    </w:p>
    <w:p>
      <w:pPr>
        <w:spacing w:after="160" w:before="0" w:line="276"/>
        <w:jc w:val="both"/>
      </w:pPr>
      <w:r>
        <w:rPr>
          <w:rFonts w:ascii="Calibri" w:cs="Calibri" w:eastAsia="Calibri" w:hAnsi="Calibri"/>
          <w:b/>
          <w:bCs/>
          <w:sz w:val="22"/>
          <w:szCs w:val="22"/>
        </w:rPr>
        <w:t xml:space="preserve">23.4 Termination for cause.</w:t>
      </w:r>
      <w:r>
        <w:rPr>
          <w:rFonts w:ascii="Calibri" w:cs="Calibri" w:eastAsia="Calibri" w:hAnsi="Calibri"/>
          <w:sz w:val="22"/>
          <w:szCs w:val="22"/>
        </w:rPr>
        <w:t xml:space="preserve"> Either Party may terminate this Agreement, or a single Engagement Order, immediately on notice if the other Party commits a material breach that is incapable of remedy, or that is capable of remedy and is not remedied within thirty (30) days of notice. Automatum may terminate a single Engagement Order under clause 8.7 for Chronic Failure. OBP may terminate a single Engagement Order under clause 11.8 for sustained non-payment.</w:t>
      </w:r>
    </w:p>
    <w:p>
      <w:pPr>
        <w:spacing w:after="160" w:before="0" w:line="276"/>
        <w:jc w:val="both"/>
      </w:pPr>
      <w:r>
        <w:rPr>
          <w:rFonts w:ascii="Calibri" w:cs="Calibri" w:eastAsia="Calibri" w:hAnsi="Calibri"/>
          <w:b/>
          <w:bCs/>
          <w:sz w:val="22"/>
          <w:szCs w:val="22"/>
        </w:rPr>
        <w:t xml:space="preserve">23.5 Insolvency.</w:t>
      </w:r>
      <w:r>
        <w:rPr>
          <w:rFonts w:ascii="Calibri" w:cs="Calibri" w:eastAsia="Calibri" w:hAnsi="Calibri"/>
          <w:sz w:val="22"/>
          <w:szCs w:val="22"/>
        </w:rPr>
        <w:t xml:space="preserve"> Either Party may terminate this Agreement immediately on notice if the other enters an insolvency process, has a receiver, administrator or trustee appointed over a material part of its assets, makes a general assignment for the benefit of creditors, or ceases to carry on business. Clause 10.10 applies to licences granted under this Agreement.</w:t>
      </w:r>
    </w:p>
    <w:p>
      <w:pPr>
        <w:spacing w:after="160" w:before="0" w:line="276"/>
        <w:jc w:val="both"/>
      </w:pPr>
      <w:r>
        <w:rPr>
          <w:rFonts w:ascii="Calibri" w:cs="Calibri" w:eastAsia="Calibri" w:hAnsi="Calibri"/>
          <w:b/>
          <w:bCs/>
          <w:sz w:val="22"/>
          <w:szCs w:val="22"/>
        </w:rPr>
        <w:t xml:space="preserve">23.6 Survival.</w:t>
      </w:r>
      <w:r>
        <w:rPr>
          <w:rFonts w:ascii="Calibri" w:cs="Calibri" w:eastAsia="Calibri" w:hAnsi="Calibri"/>
          <w:sz w:val="22"/>
          <w:szCs w:val="22"/>
        </w:rPr>
        <w:t xml:space="preserve"> Clauses 1, 2, 7.7, 10.4, 10.6, 10.8, 10.9, 10.10, 11 (for amounts accrued), 12.4, 15, 16, 17, 18, 20, 21, 22.1, 23.6, 24, 26 and 27 survive termination, together with any provision that by its nature is intended to survive.</w:t>
      </w:r>
    </w:p>
    <w:p>
      <w:pPr>
        <w:pStyle w:val="Heading2"/>
        <w:keepNext/>
        <w:spacing w:after="140" w:before="300"/>
      </w:pPr>
      <w:r>
        <w:rPr>
          <w:rFonts w:ascii="Calibri" w:cs="Calibri" w:eastAsia="Calibri" w:hAnsi="Calibri"/>
          <w:b/>
          <w:bCs/>
          <w:sz w:val="24"/>
          <w:szCs w:val="24"/>
        </w:rPr>
        <w:t xml:space="preserve">24. Transition and Run-Off</w:t>
      </w:r>
    </w:p>
    <w:p>
      <w:pPr>
        <w:spacing w:after="160" w:before="0" w:line="276"/>
        <w:jc w:val="both"/>
      </w:pPr>
      <w:r>
        <w:rPr>
          <w:rFonts w:ascii="Calibri" w:cs="Calibri" w:eastAsia="Calibri" w:hAnsi="Calibri"/>
          <w:b/>
          <w:bCs/>
          <w:sz w:val="22"/>
          <w:szCs w:val="22"/>
        </w:rPr>
        <w:t xml:space="preserve">24.1 Transition period.</w:t>
      </w:r>
      <w:r>
        <w:rPr>
          <w:rFonts w:ascii="Calibri" w:cs="Calibri" w:eastAsia="Calibri" w:hAnsi="Calibri"/>
          <w:sz w:val="22"/>
          <w:szCs w:val="22"/>
        </w:rPr>
        <w:t xml:space="preserve"> On expiry or termination of this Agreement or of an Engagement Order, OBP will provide transition assistance for ninety (90) days, extendable by Automatum to one hundred eighty (180) days on notice given before the initial period ends.</w:t>
      </w:r>
    </w:p>
    <w:p>
      <w:pPr>
        <w:spacing w:after="160" w:before="0" w:line="276"/>
        <w:jc w:val="both"/>
      </w:pPr>
      <w:r>
        <w:rPr>
          <w:rFonts w:ascii="Calibri" w:cs="Calibri" w:eastAsia="Calibri" w:hAnsi="Calibri"/>
          <w:b/>
          <w:bCs/>
          <w:sz w:val="22"/>
          <w:szCs w:val="22"/>
        </w:rPr>
        <w:t xml:space="preserve">24.2 Cost.</w:t>
      </w:r>
      <w:r>
        <w:rPr>
          <w:rFonts w:ascii="Calibri" w:cs="Calibri" w:eastAsia="Calibri" w:hAnsi="Calibri"/>
          <w:sz w:val="22"/>
          <w:szCs w:val="22"/>
        </w:rPr>
        <w:t xml:space="preserve"> Transition assistance is at OBP's cost where termination is for OBP's breach or insolvency, and is chargeable at the rate card in Schedule 2 in every other case, including termination for Automatum's breach or convenience and expiry.</w:t>
      </w:r>
    </w:p>
    <w:p>
      <w:pPr>
        <w:spacing w:after="160" w:before="0" w:line="276"/>
        <w:jc w:val="both"/>
      </w:pPr>
      <w:r>
        <w:rPr>
          <w:rFonts w:ascii="Calibri" w:cs="Calibri" w:eastAsia="Calibri" w:hAnsi="Calibri"/>
          <w:b/>
          <w:bCs/>
          <w:sz w:val="22"/>
          <w:szCs w:val="22"/>
        </w:rPr>
        <w:t xml:space="preserve">24.3 Deliverables.</w:t>
      </w:r>
      <w:r>
        <w:rPr>
          <w:rFonts w:ascii="Calibri" w:cs="Calibri" w:eastAsia="Calibri" w:hAnsi="Calibri"/>
          <w:sz w:val="22"/>
          <w:szCs w:val="22"/>
        </w:rPr>
        <w:t xml:space="preserve"> Transition assistance comprises: a verified full export of the Client Data under clause 10.5 with a restore test; knowledge transfer sessions; handover of in-flight deal registrations, CPPOs and Selling Authorization requests; run-out and reconciliation of accrued partner commissions; introductions to the Recruited Partner roster on Automatum-branded correspondence; disconnection of any CRM synchronization with a certificate of deletion under clause 18.2; and continuation of the licence in clause 16.4.</w:t>
      </w:r>
    </w:p>
    <w:p>
      <w:pPr>
        <w:spacing w:after="160" w:before="0" w:line="276"/>
        <w:jc w:val="both"/>
      </w:pPr>
      <w:r>
        <w:rPr>
          <w:rFonts w:ascii="Calibri" w:cs="Calibri" w:eastAsia="Calibri" w:hAnsi="Calibri"/>
          <w:b/>
          <w:bCs/>
          <w:sz w:val="22"/>
          <w:szCs w:val="22"/>
        </w:rPr>
        <w:t xml:space="preserve">24.4 Conduct.</w:t>
      </w:r>
      <w:r>
        <w:rPr>
          <w:rFonts w:ascii="Calibri" w:cs="Calibri" w:eastAsia="Calibri" w:hAnsi="Calibri"/>
          <w:sz w:val="22"/>
          <w:szCs w:val="22"/>
        </w:rPr>
        <w:t xml:space="preserve"> Throughout the transition period OBP will continue to perform the Services and the service levels continue to apply, and clause 7 continues to apply so that no Client or Recruited Partner learns of OBP's role or of the termination except as Automatum directs.</w:t>
      </w:r>
    </w:p>
    <w:p>
      <w:pPr>
        <w:pStyle w:val="Heading2"/>
        <w:keepNext/>
        <w:spacing w:after="140" w:before="300"/>
      </w:pPr>
      <w:r>
        <w:rPr>
          <w:rFonts w:ascii="Calibri" w:cs="Calibri" w:eastAsia="Calibri" w:hAnsi="Calibri"/>
          <w:b/>
          <w:bCs/>
          <w:sz w:val="24"/>
          <w:szCs w:val="24"/>
        </w:rPr>
        <w:t xml:space="preserve">25. Force Majeure</w:t>
      </w:r>
    </w:p>
    <w:p>
      <w:pPr>
        <w:spacing w:after="160" w:before="0" w:line="276"/>
        <w:jc w:val="both"/>
      </w:pPr>
      <w:r>
        <w:rPr>
          <w:rFonts w:ascii="Calibri" w:cs="Calibri" w:eastAsia="Calibri" w:hAnsi="Calibri"/>
          <w:b/>
          <w:bCs/>
          <w:sz w:val="22"/>
          <w:szCs w:val="22"/>
        </w:rPr>
        <w:t xml:space="preserve">25.1</w:t>
      </w:r>
      <w:r>
        <w:rPr>
          <w:rFonts w:ascii="Calibri" w:cs="Calibri" w:eastAsia="Calibri" w:hAnsi="Calibri"/>
          <w:sz w:val="22"/>
          <w:szCs w:val="22"/>
        </w:rPr>
        <w:t xml:space="preserve"> Neither Party is liable for a failure or delay caused by an event beyond its reasonable control, including act of God, war, terrorism, civil unrest, epidemic, strike affecting a third party, failure of a utility or telecommunications provider, and an unplanned AWS platform outage (a "Force Majeure Event").</w:t>
      </w:r>
    </w:p>
    <w:p>
      <w:pPr>
        <w:spacing w:after="160" w:before="0" w:line="276"/>
        <w:jc w:val="both"/>
      </w:pPr>
      <w:r>
        <w:rPr>
          <w:rFonts w:ascii="Calibri" w:cs="Calibri" w:eastAsia="Calibri" w:hAnsi="Calibri"/>
          <w:b/>
          <w:bCs/>
          <w:sz w:val="22"/>
          <w:szCs w:val="22"/>
        </w:rPr>
        <w:t xml:space="preserve">25.2</w:t>
      </w:r>
      <w:r>
        <w:rPr>
          <w:rFonts w:ascii="Calibri" w:cs="Calibri" w:eastAsia="Calibri" w:hAnsi="Calibri"/>
          <w:sz w:val="22"/>
          <w:szCs w:val="22"/>
        </w:rPr>
        <w:t xml:space="preserve"> A change by AWS to an AWS Program Term, a Marketplace mechanism or a programme rule is </w:t>
      </w:r>
      <w:r>
        <w:rPr>
          <w:rFonts w:ascii="Calibri" w:cs="Calibri" w:eastAsia="Calibri" w:hAnsi="Calibri"/>
          <w:b/>
          <w:bCs/>
          <w:sz w:val="22"/>
          <w:szCs w:val="22"/>
        </w:rPr>
        <w:t xml:space="preserve">not</w:t>
      </w:r>
      <w:r>
        <w:rPr>
          <w:rFonts w:ascii="Calibri" w:cs="Calibri" w:eastAsia="Calibri" w:hAnsi="Calibri"/>
          <w:sz w:val="22"/>
          <w:szCs w:val="22"/>
        </w:rPr>
        <w:t xml:space="preserve"> a Force Majeure Event. Clause 13.7 and clause 14.3 govern it.</w:t>
      </w:r>
    </w:p>
    <w:p>
      <w:pPr>
        <w:spacing w:after="160" w:before="0" w:line="276"/>
        <w:jc w:val="both"/>
      </w:pPr>
      <w:r>
        <w:rPr>
          <w:rFonts w:ascii="Calibri" w:cs="Calibri" w:eastAsia="Calibri" w:hAnsi="Calibri"/>
          <w:b/>
          <w:bCs/>
          <w:sz w:val="22"/>
          <w:szCs w:val="22"/>
        </w:rPr>
        <w:t xml:space="preserve">25.3</w:t>
      </w:r>
      <w:r>
        <w:rPr>
          <w:rFonts w:ascii="Calibri" w:cs="Calibri" w:eastAsia="Calibri" w:hAnsi="Calibri"/>
          <w:sz w:val="22"/>
          <w:szCs w:val="22"/>
        </w:rPr>
        <w:t xml:space="preserve"> The affected Party will notify the other promptly and use reasonable efforts to mitigate. If a Force Majeure Event continues for sixty (60) consecutive days, either Party may terminate the affected Engagement Order on thirty (30) days' notice.</w:t>
      </w:r>
    </w:p>
    <w:p>
      <w:pPr>
        <w:pStyle w:val="Heading2"/>
        <w:keepNext/>
        <w:spacing w:after="140" w:before="300"/>
      </w:pPr>
      <w:r>
        <w:rPr>
          <w:rFonts w:ascii="Calibri" w:cs="Calibri" w:eastAsia="Calibri" w:hAnsi="Calibri"/>
          <w:b/>
          <w:bCs/>
          <w:sz w:val="24"/>
          <w:szCs w:val="24"/>
        </w:rPr>
        <w:t xml:space="preserve">26. General</w:t>
      </w:r>
    </w:p>
    <w:p>
      <w:pPr>
        <w:spacing w:after="160" w:before="0" w:line="276"/>
        <w:jc w:val="both"/>
      </w:pPr>
      <w:r>
        <w:rPr>
          <w:rFonts w:ascii="Calibri" w:cs="Calibri" w:eastAsia="Calibri" w:hAnsi="Calibri"/>
          <w:b/>
          <w:bCs/>
          <w:sz w:val="22"/>
          <w:szCs w:val="22"/>
        </w:rPr>
        <w:t xml:space="preserve">26.1 Governance.</w:t>
      </w:r>
      <w:r>
        <w:rPr>
          <w:rFonts w:ascii="Calibri" w:cs="Calibri" w:eastAsia="Calibri" w:hAnsi="Calibri"/>
          <w:sz w:val="22"/>
          <w:szCs w:val="22"/>
        </w:rPr>
        <w:t xml:space="preserve"> The Parties will hold a monthly service review and a quarterly business review, each attended by the relationship managers named in Schedule 7.</w:t>
      </w:r>
    </w:p>
    <w:p>
      <w:pPr>
        <w:spacing w:after="160" w:before="0" w:line="276"/>
        <w:jc w:val="both"/>
      </w:pPr>
      <w:r>
        <w:rPr>
          <w:rFonts w:ascii="Calibri" w:cs="Calibri" w:eastAsia="Calibri" w:hAnsi="Calibri"/>
          <w:b/>
          <w:bCs/>
          <w:sz w:val="22"/>
          <w:szCs w:val="22"/>
        </w:rPr>
        <w:t xml:space="preserve">26.2 Escalation.</w:t>
      </w:r>
      <w:r>
        <w:rPr>
          <w:rFonts w:ascii="Calibri" w:cs="Calibri" w:eastAsia="Calibri" w:hAnsi="Calibri"/>
          <w:sz w:val="22"/>
          <w:szCs w:val="22"/>
        </w:rPr>
        <w:t xml:space="preserve"> A dispute is escalated first to the relationship managers, then to an executive of each Party, each stage allowing ten (10) Business Days. Neither Party may commence proceedings, other than for injunctive relief under clause 15.8, until escalation is exhausted.</w:t>
      </w:r>
    </w:p>
    <w:p>
      <w:pPr>
        <w:spacing w:after="160" w:before="0" w:line="276"/>
        <w:jc w:val="both"/>
      </w:pPr>
      <w:r>
        <w:rPr>
          <w:rFonts w:ascii="Calibri" w:cs="Calibri" w:eastAsia="Calibri" w:hAnsi="Calibri"/>
          <w:b/>
          <w:bCs/>
          <w:sz w:val="22"/>
          <w:szCs w:val="22"/>
        </w:rPr>
        <w:t xml:space="preserve">26.3 Independent contractors.</w:t>
      </w:r>
      <w:r>
        <w:rPr>
          <w:rFonts w:ascii="Calibri" w:cs="Calibri" w:eastAsia="Calibri" w:hAnsi="Calibri"/>
          <w:sz w:val="22"/>
          <w:szCs w:val="22"/>
        </w:rPr>
        <w:t xml:space="preserve"> The Parties are independent contractors. This Agreement does not create a partnership, joint venture, franchise, agency or employment relationship, except for the limited agency in clause 5.4 and any agency Automatum expressly grants in writing.</w:t>
      </w:r>
    </w:p>
    <w:p>
      <w:pPr>
        <w:spacing w:after="160" w:before="0" w:line="276"/>
        <w:jc w:val="both"/>
      </w:pPr>
      <w:r>
        <w:rPr>
          <w:rFonts w:ascii="Calibri" w:cs="Calibri" w:eastAsia="Calibri" w:hAnsi="Calibri"/>
          <w:b/>
          <w:bCs/>
          <w:sz w:val="22"/>
          <w:szCs w:val="22"/>
        </w:rPr>
        <w:t xml:space="preserve">26.4 Assignment.</w:t>
      </w:r>
      <w:r>
        <w:rPr>
          <w:rFonts w:ascii="Calibri" w:cs="Calibri" w:eastAsia="Calibri" w:hAnsi="Calibri"/>
          <w:sz w:val="22"/>
          <w:szCs w:val="22"/>
        </w:rPr>
        <w:t xml:space="preserve"> Neither Party may assign or transfer this Agreement without the other's prior written consent, not to be unreasonably withheld, except that either Party may assign to an affiliate or to a successor in connection with a merger or a sale of substantially all its assets, on notice. If a Party is acquired by a competitor of the other Party, the other Party may terminate this Agreement on sixty (60) days' notice, and clause 23.2 applies.</w:t>
      </w:r>
    </w:p>
    <w:p>
      <w:pPr>
        <w:spacing w:after="160" w:before="0" w:line="276"/>
        <w:jc w:val="both"/>
      </w:pPr>
      <w:r>
        <w:rPr>
          <w:rFonts w:ascii="Calibri" w:cs="Calibri" w:eastAsia="Calibri" w:hAnsi="Calibri"/>
          <w:b/>
          <w:bCs/>
          <w:sz w:val="22"/>
          <w:szCs w:val="22"/>
        </w:rPr>
        <w:t xml:space="preserve">26.5 Notices.</w:t>
      </w:r>
      <w:r>
        <w:rPr>
          <w:rFonts w:ascii="Calibri" w:cs="Calibri" w:eastAsia="Calibri" w:hAnsi="Calibri"/>
          <w:sz w:val="22"/>
          <w:szCs w:val="22"/>
        </w:rPr>
        <w:t xml:space="preserve"> Notices must be in writing and sent to the addresses in Schedule 8, by hand, by recognized courier, or by email to the address stated for legal notices with a copy by courier. A notice is effective on delivery, or on the next Business Day if delivered outside business hours.</w:t>
      </w:r>
    </w:p>
    <w:p>
      <w:pPr>
        <w:spacing w:after="160" w:before="0" w:line="276"/>
        <w:jc w:val="both"/>
      </w:pPr>
      <w:r>
        <w:rPr>
          <w:rFonts w:ascii="Calibri" w:cs="Calibri" w:eastAsia="Calibri" w:hAnsi="Calibri"/>
          <w:b/>
          <w:bCs/>
          <w:sz w:val="22"/>
          <w:szCs w:val="22"/>
        </w:rPr>
        <w:t xml:space="preserve">26.6 Entire agreement.</w:t>
      </w:r>
      <w:r>
        <w:rPr>
          <w:rFonts w:ascii="Calibri" w:cs="Calibri" w:eastAsia="Calibri" w:hAnsi="Calibri"/>
          <w:sz w:val="22"/>
          <w:szCs w:val="22"/>
        </w:rPr>
        <w:t xml:space="preserve"> This Agreement is the entire agreement between the Parties on its subject matter and supersedes all prior discussions, understandings and representations, including the feasibility study referred to in Recital C, which is a discussion document and does not bind either Party. Neither Party has relied on any statement not set out in this Agreement. This clause does not limit liability for fraud.</w:t>
      </w:r>
    </w:p>
    <w:p>
      <w:pPr>
        <w:spacing w:after="160" w:before="0" w:line="276"/>
        <w:jc w:val="both"/>
      </w:pPr>
      <w:r>
        <w:rPr>
          <w:rFonts w:ascii="Calibri" w:cs="Calibri" w:eastAsia="Calibri" w:hAnsi="Calibri"/>
          <w:b/>
          <w:bCs/>
          <w:sz w:val="22"/>
          <w:szCs w:val="22"/>
        </w:rPr>
        <w:t xml:space="preserve">26.7 Amendment and waiver.</w:t>
      </w:r>
      <w:r>
        <w:rPr>
          <w:rFonts w:ascii="Calibri" w:cs="Calibri" w:eastAsia="Calibri" w:hAnsi="Calibri"/>
          <w:sz w:val="22"/>
          <w:szCs w:val="22"/>
        </w:rPr>
        <w:t xml:space="preserve"> An amendment is effective only if in writing and signed by both Parties, or made by change order under clause 14.5. A waiver is effective only if in writing, and a failure or delay in exercising a right is not a waiver of it.</w:t>
      </w:r>
    </w:p>
    <w:p>
      <w:pPr>
        <w:spacing w:after="160" w:before="0" w:line="276"/>
        <w:jc w:val="both"/>
      </w:pPr>
      <w:r>
        <w:rPr>
          <w:rFonts w:ascii="Calibri" w:cs="Calibri" w:eastAsia="Calibri" w:hAnsi="Calibri"/>
          <w:b/>
          <w:bCs/>
          <w:sz w:val="22"/>
          <w:szCs w:val="22"/>
        </w:rPr>
        <w:t xml:space="preserve">26.8 Severability.</w:t>
      </w:r>
      <w:r>
        <w:rPr>
          <w:rFonts w:ascii="Calibri" w:cs="Calibri" w:eastAsia="Calibri" w:hAnsi="Calibri"/>
          <w:sz w:val="22"/>
          <w:szCs w:val="22"/>
        </w:rPr>
        <w:t xml:space="preserve"> If a provision is held invalid or unenforceable, it is modified to the minimum extent necessary to make it enforceable, or severed if it cannot be, and the rest of this Agreement continues in effect. Clause 15.9 applies to clause 15.</w:t>
      </w:r>
    </w:p>
    <w:p>
      <w:pPr>
        <w:spacing w:after="160" w:before="0" w:line="276"/>
        <w:jc w:val="both"/>
      </w:pPr>
      <w:r>
        <w:rPr>
          <w:rFonts w:ascii="Calibri" w:cs="Calibri" w:eastAsia="Calibri" w:hAnsi="Calibri"/>
          <w:b/>
          <w:bCs/>
          <w:sz w:val="22"/>
          <w:szCs w:val="22"/>
        </w:rPr>
        <w:t xml:space="preserve">26.9 No third party rights.</w:t>
      </w:r>
      <w:r>
        <w:rPr>
          <w:rFonts w:ascii="Calibri" w:cs="Calibri" w:eastAsia="Calibri" w:hAnsi="Calibri"/>
          <w:sz w:val="22"/>
          <w:szCs w:val="22"/>
        </w:rPr>
        <w:t xml:space="preserve"> No person other than the Parties has any right to enforce this Agreement, except that a Registered Client may enforce clause 16.4 to the extent necessary to retain the materials its channel runs on.</w:t>
      </w:r>
    </w:p>
    <w:p>
      <w:pPr>
        <w:spacing w:after="160" w:before="0" w:line="276"/>
        <w:jc w:val="both"/>
      </w:pPr>
      <w:r>
        <w:rPr>
          <w:rFonts w:ascii="Calibri" w:cs="Calibri" w:eastAsia="Calibri" w:hAnsi="Calibri"/>
          <w:b/>
          <w:bCs/>
          <w:sz w:val="22"/>
          <w:szCs w:val="22"/>
        </w:rPr>
        <w:t xml:space="preserve">26.10 Counterparts.</w:t>
      </w:r>
      <w:r>
        <w:rPr>
          <w:rFonts w:ascii="Calibri" w:cs="Calibri" w:eastAsia="Calibri" w:hAnsi="Calibri"/>
          <w:sz w:val="22"/>
          <w:szCs w:val="22"/>
        </w:rPr>
        <w:t xml:space="preserve"> This Agreement may be executed in counterparts, including by electronic signature, each of which is an original and all of which together are one instrument.</w:t>
      </w:r>
    </w:p>
    <w:p>
      <w:pPr>
        <w:pStyle w:val="Heading2"/>
        <w:keepNext/>
        <w:spacing w:after="140" w:before="300"/>
      </w:pPr>
      <w:r>
        <w:rPr>
          <w:rFonts w:ascii="Calibri" w:cs="Calibri" w:eastAsia="Calibri" w:hAnsi="Calibri"/>
          <w:b/>
          <w:bCs/>
          <w:sz w:val="24"/>
          <w:szCs w:val="24"/>
        </w:rPr>
        <w:t xml:space="preserve">27. Governing Law and Jurisdiction</w:t>
      </w:r>
    </w:p>
    <w:p>
      <w:pPr>
        <w:spacing w:after="160" w:before="0" w:line="276"/>
        <w:jc w:val="both"/>
      </w:pPr>
      <w:r>
        <w:rPr>
          <w:rFonts w:ascii="Calibri" w:cs="Calibri" w:eastAsia="Calibri" w:hAnsi="Calibri"/>
          <w:b/>
          <w:bCs/>
          <w:sz w:val="22"/>
          <w:szCs w:val="22"/>
        </w:rPr>
        <w:t xml:space="preserve">27.1 Governing law.</w:t>
      </w:r>
      <w:r>
        <w:rPr>
          <w:rFonts w:ascii="Calibri" w:cs="Calibri" w:eastAsia="Calibri" w:hAnsi="Calibri"/>
          <w:sz w:val="22"/>
          <w:szCs w:val="22"/>
        </w:rPr>
        <w:t xml:space="preserve"> This Agreement and any dispute arising out of or in connection with it, whether contractual or non-contractual, is governed by the laws of the State of New York, without regard to its conflict of laws rules. The United Nations Convention on Contracts for the International Sale of Goods does not apply.</w:t>
      </w:r>
    </w:p>
    <w:p>
      <w:pPr>
        <w:spacing w:after="160" w:before="0" w:line="276"/>
        <w:jc w:val="both"/>
      </w:pPr>
      <w:r>
        <w:rPr>
          <w:rFonts w:ascii="Calibri" w:cs="Calibri" w:eastAsia="Calibri" w:hAnsi="Calibri"/>
          <w:b/>
          <w:bCs/>
          <w:sz w:val="22"/>
          <w:szCs w:val="22"/>
        </w:rPr>
        <w:t xml:space="preserve">27.2 Jurisdiction.</w:t>
      </w:r>
      <w:r>
        <w:rPr>
          <w:rFonts w:ascii="Calibri" w:cs="Calibri" w:eastAsia="Calibri" w:hAnsi="Calibri"/>
          <w:sz w:val="22"/>
          <w:szCs w:val="22"/>
        </w:rPr>
        <w:t xml:space="preserve"> Subject to clause 26.2, the state and federal courts located in New York County, New York have exclusive jurisdiction, and each Party irrevocably submits to that jurisdiction and waives any objection based on venue or forum non conveniens.</w:t>
      </w:r>
    </w:p>
    <w:p>
      <w:pPr>
        <w:spacing w:after="160" w:before="0" w:line="276"/>
        <w:jc w:val="both"/>
      </w:pPr>
      <w:r>
        <w:rPr>
          <w:rFonts w:ascii="Calibri" w:cs="Calibri" w:eastAsia="Calibri" w:hAnsi="Calibri"/>
          <w:b/>
          <w:bCs/>
          <w:sz w:val="22"/>
          <w:szCs w:val="22"/>
        </w:rPr>
        <w:t xml:space="preserve">27.3 Jury waiver.</w:t>
      </w:r>
      <w:r>
        <w:rPr>
          <w:rFonts w:ascii="Calibri" w:cs="Calibri" w:eastAsia="Calibri" w:hAnsi="Calibri"/>
          <w:sz w:val="22"/>
          <w:szCs w:val="22"/>
        </w:rPr>
        <w:t xml:space="preserve"> EACH PARTY IRREVOCABLY WAIVES ANY RIGHT TO TRIAL BY JURY IN ANY PROCEEDING ARISING OUT OF OR RELATING TO THIS AGREEMENT.</w:t>
      </w:r>
    </w:p>
    <w:p>
      <w:pPr>
        <w:pStyle w:val="Heading1"/>
        <w:pageBreakBefore/>
        <w:spacing w:after="200" w:before="240"/>
        <w:jc w:val="left"/>
      </w:pPr>
      <w:r>
        <w:rPr>
          <w:rFonts w:ascii="Calibri" w:cs="Calibri" w:eastAsia="Calibri" w:hAnsi="Calibri"/>
          <w:b/>
          <w:bCs/>
          <w:sz w:val="28"/>
          <w:szCs w:val="28"/>
        </w:rPr>
        <w:t xml:space="preserve">Schedule 1 - Services Description and Tier Matrix</w:t>
      </w:r>
    </w:p>
    <w:p>
      <w:pPr>
        <w:pStyle w:val="Heading2"/>
        <w:keepNext/>
        <w:spacing w:after="140" w:before="300"/>
      </w:pPr>
      <w:r>
        <w:rPr>
          <w:rFonts w:ascii="Calibri" w:cs="Calibri" w:eastAsia="Calibri" w:hAnsi="Calibri"/>
          <w:b/>
          <w:bCs/>
          <w:sz w:val="24"/>
          <w:szCs w:val="24"/>
        </w:rPr>
        <w:t xml:space="preserve">1. The Solution</w:t>
      </w:r>
    </w:p>
    <w:p>
      <w:pPr>
        <w:spacing w:after="160" w:before="0" w:line="276"/>
        <w:jc w:val="both"/>
      </w:pPr>
      <w:r>
        <w:rPr>
          <w:rFonts w:ascii="Calibri" w:cs="Calibri" w:eastAsia="Calibri" w:hAnsi="Calibri"/>
          <w:sz w:val="22"/>
          <w:szCs w:val="22"/>
        </w:rPr>
        <w:t xml:space="preserve">Managed Partner Development is a twelve (12) month engagement under which Automatum builds and runs a reseller channel on AWS for a Registered Client. Delivery comprises executed partner agreements and a margin schedule, a live partner portal carrying onboarding, deal registration and commission tracking, recruitment and enablement on a named cadence, a deal desk answering registrations, and a monthly report whose headline number is the Offer-Issuing Partner count.</w:t>
      </w:r>
    </w:p>
    <w:p>
      <w:pPr>
        <w:pStyle w:val="Heading2"/>
        <w:keepNext/>
        <w:spacing w:after="140" w:before="300"/>
      </w:pPr>
      <w:r>
        <w:rPr>
          <w:rFonts w:ascii="Calibri" w:cs="Calibri" w:eastAsia="Calibri" w:hAnsi="Calibri"/>
          <w:b/>
          <w:bCs/>
          <w:sz w:val="24"/>
          <w:szCs w:val="24"/>
        </w:rPr>
        <w:t xml:space="preserve">2. Tier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36"/>
        <w:gridCol w:w="3058"/>
        <w:gridCol w:w="1483"/>
        <w:gridCol w:w="1483"/>
      </w:tblGrid>
      <w:tr>
        <w:trPr>
          <w:tblHeader/>
        </w:trPr>
        <w:tc>
          <w:tcPr>
            <w:tcW w:type="dxa" w:w="333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305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1</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2</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3</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$2,500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$5,000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$7,500 per month</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Recruited Partners (ceiling)</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up to 6</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up to 12</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uncapped roster</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Training and enablement sessions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twice yearly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turnaround (total)</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Reviews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fortnightly</w:t>
            </w:r>
          </w:p>
        </w:tc>
      </w:tr>
    </w:tbl>
    <w:p>
      <w:pPr>
        <w:spacing w:after="160"/>
      </w:pPr>
      <w:r>
        <w:t xml:space="preserve"/>
      </w:r>
    </w:p>
    <w:p>
      <w:pPr>
        <w:spacing w:after="160" w:before="0" w:line="276"/>
        <w:jc w:val="both"/>
      </w:pPr>
      <w:r>
        <w:rPr>
          <w:rFonts w:ascii="Calibri" w:cs="Calibri" w:eastAsia="Calibri" w:hAnsi="Calibri"/>
          <w:sz w:val="22"/>
          <w:szCs w:val="22"/>
        </w:rPr>
        <w:t xml:space="preserve">At every Tier: recurring Selling Authorizations prepared, issued and tracked in AWS Marketplace; the PSR stood up and operated within the OBP Service Revenue; AWS Partner Revenue Measurement attribution configured for the channel.</w:t>
      </w:r>
    </w:p>
    <w:p>
      <w:pPr>
        <w:pStyle w:val="Heading2"/>
        <w:keepNext/>
        <w:spacing w:after="140" w:before="300"/>
      </w:pPr>
      <w:r>
        <w:rPr>
          <w:rFonts w:ascii="Calibri" w:cs="Calibri" w:eastAsia="Calibri" w:hAnsi="Calibri"/>
          <w:b/>
          <w:bCs/>
          <w:sz w:val="24"/>
          <w:szCs w:val="24"/>
        </w:rPr>
        <w:t xml:space="preserve">3. Partner numbers are a ceiling</w:t>
      </w:r>
    </w:p>
    <w:p>
      <w:pPr>
        <w:spacing w:after="160" w:before="0" w:line="276"/>
        <w:jc w:val="both"/>
      </w:pPr>
      <w:r>
        <w:rPr>
          <w:rFonts w:ascii="Calibri" w:cs="Calibri" w:eastAsia="Calibri" w:hAnsi="Calibri"/>
          <w:sz w:val="22"/>
          <w:szCs w:val="22"/>
        </w:rPr>
        <w:t xml:space="preserve">The partner numbers are the maximum OBP is obliged to recruit and onboard. Clause 5.3 governs. OBP does not warrant that any partner is recruited, authorized, issues an offer, transacts or becomes an Active Partner.</w:t>
      </w:r>
    </w:p>
    <w:p>
      <w:pPr>
        <w:pStyle w:val="Heading2"/>
        <w:keepNext/>
        <w:spacing w:after="140" w:before="300"/>
      </w:pPr>
      <w:r>
        <w:rPr>
          <w:rFonts w:ascii="Calibri" w:cs="Calibri" w:eastAsia="Calibri" w:hAnsi="Calibri"/>
          <w:b/>
          <w:bCs/>
          <w:sz w:val="24"/>
          <w:szCs w:val="24"/>
        </w:rPr>
        <w:t xml:space="preserve">4. Tier 3 "uncapped" means no ceiling, not unlimited rate</w:t>
      </w:r>
    </w:p>
    <w:p>
      <w:pPr>
        <w:spacing w:after="160" w:before="0" w:line="276"/>
        <w:jc w:val="both"/>
      </w:pPr>
      <w:r>
        <w:rPr>
          <w:rFonts w:ascii="Calibri" w:cs="Calibri" w:eastAsia="Calibri" w:hAnsi="Calibri"/>
          <w:sz w:val="22"/>
          <w:szCs w:val="22"/>
        </w:rPr>
        <w:t xml:space="preserve">For a Tier 3 Engagement there is no contractual ceiling on the total number of Recruited Partners over the Engagement. OBP's obligation is a throughput obligation:</w:t>
      </w:r>
    </w:p>
    <w:p>
      <w:pPr>
        <w:pStyle w:val="ListParagraph"/>
        <w:numPr>
          <w:ilvl w:val="0"/>
          <w:numId w:val="1"/>
        </w:numPr>
        <w:spacing w:after="80" w:before="40" w:line="276"/>
      </w:pPr>
      <w:r>
        <w:rPr>
          <w:rFonts w:ascii="Calibri" w:cs="Calibri" w:eastAsia="Calibri" w:hAnsi="Calibri"/>
          <w:sz w:val="22"/>
          <w:szCs w:val="22"/>
        </w:rPr>
        <w:t xml:space="preserve">OBP will process up to the Onboarding Throughput Rate stated in the Engagement Order in new partner onboardings per month, and will maintain up to the stated number of concurrent onboardings, operated as a first-in-first-out queue with queue position visible in the PSR.</w:t>
      </w:r>
    </w:p>
    <w:p>
      <w:pPr>
        <w:pStyle w:val="ListParagraph"/>
        <w:numPr>
          <w:ilvl w:val="0"/>
          <w:numId w:val="1"/>
        </w:numPr>
        <w:spacing w:after="80" w:before="40" w:line="276"/>
      </w:pPr>
      <w:r>
        <w:rPr>
          <w:rFonts w:ascii="Calibri" w:cs="Calibri" w:eastAsia="Calibri" w:hAnsi="Calibri"/>
          <w:sz w:val="22"/>
          <w:szCs w:val="22"/>
        </w:rPr>
        <w:t xml:space="preserve">Requests above the rate are queued. Queuing is not a failure to meet a service level.</w:t>
      </w:r>
    </w:p>
    <w:p>
      <w:pPr>
        <w:pStyle w:val="ListParagraph"/>
        <w:numPr>
          <w:ilvl w:val="0"/>
          <w:numId w:val="1"/>
        </w:numPr>
        <w:spacing w:after="80" w:before="40" w:line="276"/>
      </w:pPr>
      <w:r>
        <w:rPr>
          <w:rFonts w:ascii="Calibri" w:cs="Calibri" w:eastAsia="Calibri" w:hAnsi="Calibri"/>
          <w:sz w:val="22"/>
          <w:szCs w:val="22"/>
        </w:rPr>
        <w:t xml:space="preserve">Each Tier 3 Engagement Order states Baseline Assumptions for active partner count and monthly onboarding volume. If actual volume exceeds one hundred fifty percent (150%) of Baseline over any rolling three (3) months, either Party may invoke clause 14.5, and Automatum will use reasonable efforts to obtain an uplift from the Client or a move to a bespoke tier. If the Client will not agree, OBP's obligation is capped at Baseline plus fair use and Automatum carries the difference against the Client.</w:t>
      </w:r>
    </w:p>
    <w:p>
      <w:pPr>
        <w:pStyle w:val="ListParagraph"/>
        <w:numPr>
          <w:ilvl w:val="0"/>
          <w:numId w:val="1"/>
        </w:numPr>
        <w:spacing w:after="80" w:before="40" w:line="276"/>
      </w:pPr>
      <w:r>
        <w:rPr>
          <w:rFonts w:ascii="Calibri" w:cs="Calibri" w:eastAsia="Calibri" w:hAnsi="Calibri"/>
          <w:sz w:val="22"/>
          <w:szCs w:val="22"/>
        </w:rPr>
        <w:t xml:space="preserve">Above the partner record threshold stated in the Engagement Order, incremental PSR licence cost is passed through at cost under clause 14.5, unless OBP has warranted in the Engagement Order that it holds an unlimited-partner licence.</w:t>
      </w:r>
    </w:p>
    <w:p>
      <w:pPr>
        <w:pStyle w:val="Heading2"/>
        <w:keepNext/>
        <w:spacing w:after="140" w:before="300"/>
      </w:pPr>
      <w:r>
        <w:rPr>
          <w:rFonts w:ascii="Calibri" w:cs="Calibri" w:eastAsia="Calibri" w:hAnsi="Calibri"/>
          <w:b/>
          <w:bCs/>
          <w:sz w:val="24"/>
          <w:szCs w:val="24"/>
        </w:rPr>
        <w:t xml:space="preserve">5. Services at every Tier</w:t>
      </w:r>
    </w:p>
    <w:p>
      <w:pPr>
        <w:spacing w:after="160" w:before="0" w:line="276"/>
        <w:jc w:val="both"/>
      </w:pPr>
      <w:r>
        <w:rPr>
          <w:rFonts w:ascii="Calibri" w:cs="Calibri" w:eastAsia="Calibri" w:hAnsi="Calibri"/>
          <w:b/>
          <w:bCs/>
          <w:sz w:val="22"/>
          <w:szCs w:val="22"/>
        </w:rPr>
        <w:t xml:space="preserve">5.1 Recruitment.</w:t>
      </w:r>
      <w:r>
        <w:rPr>
          <w:rFonts w:ascii="Calibri" w:cs="Calibri" w:eastAsia="Calibri" w:hAnsi="Calibri"/>
          <w:sz w:val="22"/>
          <w:szCs w:val="22"/>
        </w:rPr>
        <w:t xml:space="preserve"> Identify, qualify, approach, recruit and onboard Recruited Partners against the ideal partner profile agreed in the Engagement Order.</w:t>
      </w:r>
    </w:p>
    <w:p>
      <w:pPr>
        <w:spacing w:after="160" w:before="0" w:line="276"/>
        <w:jc w:val="both"/>
      </w:pPr>
      <w:r>
        <w:rPr>
          <w:rFonts w:ascii="Calibri" w:cs="Calibri" w:eastAsia="Calibri" w:hAnsi="Calibri"/>
          <w:b/>
          <w:bCs/>
          <w:sz w:val="22"/>
          <w:szCs w:val="22"/>
        </w:rPr>
        <w:t xml:space="preserve">5.2 Partner due diligence.</w:t>
      </w:r>
      <w:r>
        <w:rPr>
          <w:rFonts w:ascii="Calibri" w:cs="Calibri" w:eastAsia="Calibri" w:hAnsi="Calibri"/>
          <w:sz w:val="22"/>
          <w:szCs w:val="22"/>
        </w:rPr>
        <w:t xml:space="preserve"> Before onboarding, screen each candidate against: sanctions and denied party lists; adverse media; beneficial ownership, including whether any owner or controller is a government official; AWS Partner Network standing; and financial standing. Clause 19.4 governs the consequences.</w:t>
      </w:r>
    </w:p>
    <w:p>
      <w:pPr>
        <w:spacing w:after="160" w:before="0" w:line="276"/>
        <w:jc w:val="both"/>
      </w:pPr>
      <w:r>
        <w:rPr>
          <w:rFonts w:ascii="Calibri" w:cs="Calibri" w:eastAsia="Calibri" w:hAnsi="Calibri"/>
          <w:b/>
          <w:bCs/>
          <w:sz w:val="22"/>
          <w:szCs w:val="22"/>
        </w:rPr>
        <w:t xml:space="preserve">5.3 Partner contracting.</w:t>
      </w:r>
      <w:r>
        <w:rPr>
          <w:rFonts w:ascii="Calibri" w:cs="Calibri" w:eastAsia="Calibri" w:hAnsi="Calibri"/>
          <w:sz w:val="22"/>
          <w:szCs w:val="22"/>
        </w:rPr>
        <w:t xml:space="preserve"> Draft, issue and administer the partner agreement and margin schedule, executed between the Registered Client, or Automatum as its agent, and the partner. Clause 5.4 governs. OBP is never a principal.</w:t>
      </w:r>
    </w:p>
    <w:p>
      <w:pPr>
        <w:spacing w:after="160" w:before="0" w:line="276"/>
        <w:jc w:val="both"/>
      </w:pPr>
      <w:r>
        <w:rPr>
          <w:rFonts w:ascii="Calibri" w:cs="Calibri" w:eastAsia="Calibri" w:hAnsi="Calibri"/>
          <w:b/>
          <w:bCs/>
          <w:sz w:val="22"/>
          <w:szCs w:val="22"/>
        </w:rPr>
        <w:t xml:space="preserve">5.4 Onboarding.</w:t>
      </w:r>
      <w:r>
        <w:rPr>
          <w:rFonts w:ascii="Calibri" w:cs="Calibri" w:eastAsia="Calibri" w:hAnsi="Calibri"/>
          <w:sz w:val="22"/>
          <w:szCs w:val="22"/>
        </w:rPr>
        <w:t xml:space="preserve"> Guide each partner through AWS registration, tax and banking details, and service-linked role creation. Clause 8.3 governs delay caused by a partner's failure to complete these, which is outside OBP's control.</w:t>
      </w:r>
    </w:p>
    <w:p>
      <w:pPr>
        <w:spacing w:after="160" w:before="0" w:line="276"/>
        <w:jc w:val="both"/>
      </w:pPr>
      <w:r>
        <w:rPr>
          <w:rFonts w:ascii="Calibri" w:cs="Calibri" w:eastAsia="Calibri" w:hAnsi="Calibri"/>
          <w:b/>
          <w:bCs/>
          <w:sz w:val="22"/>
          <w:szCs w:val="22"/>
        </w:rPr>
        <w:t xml:space="preserve">5.5 Enablement and training.</w:t>
      </w:r>
      <w:r>
        <w:rPr>
          <w:rFonts w:ascii="Calibri" w:cs="Calibri" w:eastAsia="Calibri" w:hAnsi="Calibri"/>
          <w:sz w:val="22"/>
          <w:szCs w:val="22"/>
        </w:rPr>
        <w:t xml:space="preserve"> Deliver sessions at the Tier cadence, covering the Client's product, the offer mechanics, deal registration and the margin schedule.</w:t>
      </w:r>
    </w:p>
    <w:p>
      <w:pPr>
        <w:spacing w:after="160" w:before="0" w:line="276"/>
        <w:jc w:val="both"/>
      </w:pPr>
      <w:r>
        <w:rPr>
          <w:rFonts w:ascii="Calibri" w:cs="Calibri" w:eastAsia="Calibri" w:hAnsi="Calibri"/>
          <w:b/>
          <w:bCs/>
          <w:sz w:val="22"/>
          <w:szCs w:val="22"/>
        </w:rPr>
        <w:t xml:space="preserve">5.6 Deal desk.</w:t>
      </w:r>
      <w:r>
        <w:rPr>
          <w:rFonts w:ascii="Calibri" w:cs="Calibri" w:eastAsia="Calibri" w:hAnsi="Calibri"/>
          <w:sz w:val="22"/>
          <w:szCs w:val="22"/>
        </w:rPr>
        <w:t xml:space="preserve"> Receive Deal Desk Requests and deliver an Issuance-Ready Package to Automatum within the OBP leg in Schedule 4.</w:t>
      </w:r>
    </w:p>
    <w:p>
      <w:pPr>
        <w:spacing w:after="160" w:before="0" w:line="276"/>
        <w:jc w:val="both"/>
      </w:pPr>
      <w:r>
        <w:rPr>
          <w:rFonts w:ascii="Calibri" w:cs="Calibri" w:eastAsia="Calibri" w:hAnsi="Calibri"/>
          <w:b/>
          <w:bCs/>
          <w:sz w:val="22"/>
          <w:szCs w:val="22"/>
        </w:rPr>
        <w:t xml:space="preserve">5.7 Selling Authorizations.</w:t>
      </w:r>
      <w:r>
        <w:rPr>
          <w:rFonts w:ascii="Calibri" w:cs="Calibri" w:eastAsia="Calibri" w:hAnsi="Calibri"/>
          <w:sz w:val="22"/>
          <w:szCs w:val="22"/>
        </w:rPr>
        <w:t xml:space="preserve"> Prepare and submit recurring Selling Authorization requests to Automatum and track their status in the PSR.</w:t>
      </w:r>
    </w:p>
    <w:p>
      <w:pPr>
        <w:spacing w:after="160" w:before="0" w:line="276"/>
        <w:jc w:val="both"/>
      </w:pPr>
      <w:r>
        <w:rPr>
          <w:rFonts w:ascii="Calibri" w:cs="Calibri" w:eastAsia="Calibri" w:hAnsi="Calibri"/>
          <w:b/>
          <w:bCs/>
          <w:sz w:val="22"/>
          <w:szCs w:val="22"/>
        </w:rPr>
        <w:t xml:space="preserve">5.8 Channel Reviews.</w:t>
      </w:r>
      <w:r>
        <w:rPr>
          <w:rFonts w:ascii="Calibri" w:cs="Calibri" w:eastAsia="Calibri" w:hAnsi="Calibri"/>
          <w:sz w:val="22"/>
          <w:szCs w:val="22"/>
        </w:rPr>
        <w:t xml:space="preserve"> Deliver reviews at the Tier cadence covering pipeline, partner performance, the headline metric and remediation actions.</w:t>
      </w:r>
    </w:p>
    <w:p>
      <w:pPr>
        <w:spacing w:after="160" w:before="0" w:line="276"/>
        <w:jc w:val="both"/>
      </w:pPr>
      <w:r>
        <w:rPr>
          <w:rFonts w:ascii="Calibri" w:cs="Calibri" w:eastAsia="Calibri" w:hAnsi="Calibri"/>
          <w:b/>
          <w:bCs/>
          <w:sz w:val="22"/>
          <w:szCs w:val="22"/>
        </w:rPr>
        <w:t xml:space="preserve">5.9 PSR.</w:t>
      </w:r>
      <w:r>
        <w:rPr>
          <w:rFonts w:ascii="Calibri" w:cs="Calibri" w:eastAsia="Calibri" w:hAnsi="Calibri"/>
          <w:sz w:val="22"/>
          <w:szCs w:val="22"/>
        </w:rPr>
        <w:t xml:space="preserve"> Stand up, configure, host, operate, support and maintain the PSR under clause 10 and Schedule 5.</w:t>
      </w:r>
    </w:p>
    <w:p>
      <w:pPr>
        <w:spacing w:after="160" w:before="0" w:line="276"/>
        <w:jc w:val="both"/>
      </w:pPr>
      <w:r>
        <w:rPr>
          <w:rFonts w:ascii="Calibri" w:cs="Calibri" w:eastAsia="Calibri" w:hAnsi="Calibri"/>
          <w:b/>
          <w:bCs/>
          <w:sz w:val="22"/>
          <w:szCs w:val="22"/>
        </w:rPr>
        <w:t xml:space="preserve">5.10 Attribution.</w:t>
      </w:r>
      <w:r>
        <w:rPr>
          <w:rFonts w:ascii="Calibri" w:cs="Calibri" w:eastAsia="Calibri" w:hAnsi="Calibri"/>
          <w:sz w:val="22"/>
          <w:szCs w:val="22"/>
        </w:rPr>
        <w:t xml:space="preserve"> Support configuration of AWS Partner Revenue Measurement attribution as described in clause 5.10 of this Agreement.</w:t>
      </w:r>
    </w:p>
    <w:p>
      <w:pPr>
        <w:spacing w:after="160" w:before="0" w:line="276"/>
        <w:jc w:val="both"/>
      </w:pPr>
      <w:r>
        <w:rPr>
          <w:rFonts w:ascii="Calibri" w:cs="Calibri" w:eastAsia="Calibri" w:hAnsi="Calibri"/>
          <w:b/>
          <w:bCs/>
          <w:sz w:val="22"/>
          <w:szCs w:val="22"/>
        </w:rPr>
        <w:t xml:space="preserve">5.11 ACE.</w:t>
      </w:r>
      <w:r>
        <w:rPr>
          <w:rFonts w:ascii="Calibri" w:cs="Calibri" w:eastAsia="Calibri" w:hAnsi="Calibri"/>
          <w:sz w:val="22"/>
          <w:szCs w:val="22"/>
        </w:rPr>
        <w:t xml:space="preserve"> File partner-sourced opportunities under the account in Schedule 8, tracked distinctly from any baseline quota.</w:t>
      </w:r>
    </w:p>
    <w:p>
      <w:pPr>
        <w:spacing w:after="160" w:before="0" w:line="276"/>
        <w:jc w:val="both"/>
      </w:pPr>
      <w:r>
        <w:rPr>
          <w:rFonts w:ascii="Calibri" w:cs="Calibri" w:eastAsia="Calibri" w:hAnsi="Calibri"/>
          <w:b/>
          <w:bCs/>
          <w:sz w:val="22"/>
          <w:szCs w:val="22"/>
        </w:rPr>
        <w:t xml:space="preserve">5.12 Reporting.</w:t>
      </w:r>
      <w:r>
        <w:rPr>
          <w:rFonts w:ascii="Calibri" w:cs="Calibri" w:eastAsia="Calibri" w:hAnsi="Calibri"/>
          <w:sz w:val="22"/>
          <w:szCs w:val="22"/>
        </w:rPr>
        <w:t xml:space="preserve"> Deliver the monthly reporting pack in Schedule 4.</w:t>
      </w:r>
    </w:p>
    <w:p>
      <w:pPr>
        <w:pStyle w:val="Heading2"/>
        <w:keepNext/>
        <w:spacing w:after="140" w:before="300"/>
      </w:pPr>
      <w:r>
        <w:rPr>
          <w:rFonts w:ascii="Calibri" w:cs="Calibri" w:eastAsia="Calibri" w:hAnsi="Calibri"/>
          <w:b/>
          <w:bCs/>
          <w:sz w:val="24"/>
          <w:szCs w:val="24"/>
        </w:rPr>
        <w:t xml:space="preserve">6. Partner milestones are targets, not warranties</w:t>
      </w:r>
    </w:p>
    <w:p>
      <w:pPr>
        <w:spacing w:after="160" w:before="0" w:line="276"/>
        <w:jc w:val="both"/>
      </w:pPr>
      <w:r>
        <w:rPr>
          <w:rFonts w:ascii="Calibri" w:cs="Calibri" w:eastAsia="Calibri" w:hAnsi="Calibri"/>
          <w:sz w:val="22"/>
          <w:szCs w:val="22"/>
        </w:rPr>
        <w:t xml:space="preserve">The Parties record the programme target that a Recruited Partner achieves its first Transaction by the end of the first quarter following its partner agreement signature date. This is a target supported by a best efforts obligation and a reporting duty. It is not a warranty, because partner timelines depend on the partner completing AWS registration, tax, banking and service-linked role requirements, which is outside the control of OBP, Automatum and the Registered Client. Clause 8.3 stops the clock while a partner is pending those requirements.</w:t>
      </w:r>
    </w:p>
    <w:p>
      <w:pPr>
        <w:pStyle w:val="Heading2"/>
        <w:keepNext/>
        <w:spacing w:after="140" w:before="300"/>
      </w:pPr>
      <w:r>
        <w:rPr>
          <w:rFonts w:ascii="Calibri" w:cs="Calibri" w:eastAsia="Calibri" w:hAnsi="Calibri"/>
          <w:b/>
          <w:bCs/>
          <w:sz w:val="24"/>
          <w:szCs w:val="24"/>
        </w:rPr>
        <w:t xml:space="preserve">7. Active Partner measurement</w:t>
      </w:r>
    </w:p>
    <w:p>
      <w:pPr>
        <w:spacing w:after="160" w:before="0" w:line="276"/>
        <w:jc w:val="both"/>
      </w:pPr>
      <w:r>
        <w:rPr>
          <w:rFonts w:ascii="Calibri" w:cs="Calibri" w:eastAsia="Calibri" w:hAnsi="Calibri"/>
          <w:sz w:val="22"/>
          <w:szCs w:val="22"/>
        </w:rPr>
        <w:t xml:space="preserve">A Recruited Partner is an Active Partner only if it has transacted at least once in the preceding three hundred sixty five (365) days. Because an Engagement Year is twelve (12) months, a partner recruited late in an Engagement cannot reach Active Partner status within that Engagement. Accordingly:</w:t>
      </w:r>
    </w:p>
    <w:p>
      <w:pPr>
        <w:pStyle w:val="ListParagraph"/>
        <w:numPr>
          <w:ilvl w:val="0"/>
          <w:numId w:val="1"/>
        </w:numPr>
        <w:spacing w:after="80" w:before="40" w:line="276"/>
      </w:pPr>
      <w:r>
        <w:rPr>
          <w:rFonts w:ascii="Calibri" w:cs="Calibri" w:eastAsia="Calibri" w:hAnsi="Calibri"/>
          <w:sz w:val="22"/>
          <w:szCs w:val="22"/>
        </w:rPr>
        <w:t xml:space="preserve">Active Partner counts are measured on a trailing basis and are also measured at a post-term measurement date falling three (3) months after the end of the Engagement Year;</w:t>
      </w:r>
    </w:p>
    <w:p>
      <w:pPr>
        <w:pStyle w:val="ListParagraph"/>
        <w:numPr>
          <w:ilvl w:val="0"/>
          <w:numId w:val="1"/>
        </w:numPr>
        <w:spacing w:after="80" w:before="40" w:line="276"/>
      </w:pPr>
      <w:r>
        <w:rPr>
          <w:rFonts w:ascii="Calibri" w:cs="Calibri" w:eastAsia="Calibri" w:hAnsi="Calibri"/>
          <w:sz w:val="22"/>
          <w:szCs w:val="22"/>
        </w:rPr>
        <w:t xml:space="preserve">Recruited Partners onboarded in the final ninety (90) days of an Engagement Year are excluded from any in-term ratio expressed by reference to Active Partners; and</w:t>
      </w:r>
    </w:p>
    <w:p>
      <w:pPr>
        <w:pStyle w:val="ListParagraph"/>
        <w:numPr>
          <w:ilvl w:val="0"/>
          <w:numId w:val="1"/>
        </w:numPr>
        <w:spacing w:after="80" w:before="40" w:line="276"/>
      </w:pPr>
      <w:r>
        <w:rPr>
          <w:rFonts w:ascii="Calibri" w:cs="Calibri" w:eastAsia="Calibri" w:hAnsi="Calibri"/>
          <w:sz w:val="22"/>
          <w:szCs w:val="22"/>
        </w:rPr>
        <w:t xml:space="preserve">no fee, credit or commitment under this Agreement is calculated by reference to an Active Partner count for a period in which the partner could not arithmetically have qualified.</w:t>
      </w:r>
    </w:p>
    <w:p>
      <w:pPr>
        <w:pStyle w:val="Heading2"/>
        <w:keepNext/>
        <w:spacing w:after="140" w:before="300"/>
      </w:pPr>
      <w:r>
        <w:rPr>
          <w:rFonts w:ascii="Calibri" w:cs="Calibri" w:eastAsia="Calibri" w:hAnsi="Calibri"/>
          <w:b/>
          <w:bCs/>
          <w:sz w:val="24"/>
          <w:szCs w:val="24"/>
        </w:rPr>
        <w:t xml:space="preserve">8. Out of scope</w:t>
      </w:r>
    </w:p>
    <w:p>
      <w:pPr>
        <w:spacing w:after="160" w:before="0" w:line="276"/>
        <w:jc w:val="both"/>
      </w:pPr>
      <w:r>
        <w:rPr>
          <w:rFonts w:ascii="Calibri" w:cs="Calibri" w:eastAsia="Calibri" w:hAnsi="Calibri"/>
          <w:sz w:val="22"/>
          <w:szCs w:val="22"/>
        </w:rPr>
        <w:t xml:space="preserve">Anything not described in this Schedule 1, including bespoke integration work, partner marketing spend, channel incentive funding, legal advice, and services for a Client's direct customers, is out of scope and chargeable under clause 14.5 at the rate card in Schedule 2.</w:t>
      </w:r>
    </w:p>
    <w:p>
      <w:pPr>
        <w:pStyle w:val="Heading1"/>
        <w:pageBreakBefore/>
        <w:spacing w:after="200" w:before="240"/>
        <w:jc w:val="left"/>
      </w:pPr>
      <w:r>
        <w:rPr>
          <w:rFonts w:ascii="Calibri" w:cs="Calibri" w:eastAsia="Calibri" w:hAnsi="Calibri"/>
          <w:b/>
          <w:bCs/>
          <w:sz w:val="28"/>
          <w:szCs w:val="28"/>
        </w:rPr>
        <w:t xml:space="preserve">Schedule 2 - Commercial Terms</w:t>
      </w:r>
    </w:p>
    <w:p>
      <w:pPr>
        <w:pStyle w:val="Heading2"/>
        <w:keepNext/>
        <w:spacing w:after="140" w:before="300"/>
      </w:pPr>
      <w:r>
        <w:rPr>
          <w:rFonts w:ascii="Calibri" w:cs="Calibri" w:eastAsia="Calibri" w:hAnsi="Calibri"/>
          <w:b/>
          <w:bCs/>
          <w:sz w:val="24"/>
          <w:szCs w:val="24"/>
        </w:rPr>
        <w:t xml:space="preserve">1. The split</w:t>
      </w:r>
    </w:p>
    <w:p>
      <w:pPr>
        <w:spacing w:after="160" w:before="0" w:line="276"/>
        <w:jc w:val="both"/>
      </w:pPr>
      <w:r>
        <w:rPr>
          <w:rFonts w:ascii="Calibri" w:cs="Calibri" w:eastAsia="Calibri" w:hAnsi="Calibri"/>
          <w:sz w:val="22"/>
          <w:szCs w:val="22"/>
        </w:rPr>
        <w:t xml:space="preserve">The Automatum Retention is $9,999 per Engagement Year at every Tier, accruing at $833.25 per Engagement Month under clause 11.2(a). The OBP Service Revenue is the balance.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
        <w:gridCol w:w="1177"/>
        <w:gridCol w:w="1737"/>
        <w:gridCol w:w="1569"/>
        <w:gridCol w:w="1569"/>
        <w:gridCol w:w="1625"/>
        <w:gridCol w:w="1347"/>
      </w:tblGrid>
      <w:tr>
        <w:trPr>
          <w:tblHeader/>
        </w:trPr>
        <w:tc>
          <w:tcPr>
            <w:tcW w:type="dxa" w:w="33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17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Client Fees per month</w:t>
            </w:r>
          </w:p>
        </w:tc>
        <w:tc>
          <w:tcPr>
            <w:tcW w:type="dxa" w:w="173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Client Fees per Engagement Year</w:t>
            </w:r>
          </w:p>
        </w:tc>
        <w:tc>
          <w:tcPr>
            <w:tcW w:type="dxa" w:w="156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Retention per year</w:t>
            </w:r>
          </w:p>
        </w:tc>
        <w:tc>
          <w:tcPr>
            <w:tcW w:type="dxa" w:w="156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Service Revenue per year</w:t>
            </w:r>
          </w:p>
        </w:tc>
        <w:tc>
          <w:tcPr>
            <w:tcW w:type="dxa" w:w="162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Service Revenue per month</w:t>
            </w:r>
          </w:p>
        </w:tc>
        <w:tc>
          <w:tcPr>
            <w:tcW w:type="dxa" w:w="134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share of gross</w:t>
            </w:r>
          </w:p>
        </w:tc>
      </w:tr>
      <w:tr>
        <w:trPr>
          <w:tblHeader w:val="false"/>
        </w:trPr>
        <w:tc>
          <w:tcPr>
            <w:tcW w:type="dxa" w:w="336"/>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177"/>
            <w:tcMar>
              <w:top w:type="dxa" w:w="60"/>
              <w:left w:type="dxa" w:w="108"/>
              <w:bottom w:type="dxa" w:w="60"/>
              <w:right w:type="dxa" w:w="108"/>
            </w:tcMar>
          </w:tcPr>
          <w:p>
            <w:pPr>
              <w:spacing w:after="0" w:before="0" w:line="240"/>
            </w:pPr>
            <w:r>
              <w:rPr>
                <w:rFonts w:ascii="Calibri" w:cs="Calibri" w:eastAsia="Calibri" w:hAnsi="Calibri"/>
                <w:sz w:val="19"/>
                <w:szCs w:val="19"/>
              </w:rPr>
              <w:t xml:space="preserve">$2,500</w:t>
            </w:r>
          </w:p>
        </w:tc>
        <w:tc>
          <w:tcPr>
            <w:tcW w:type="dxa" w:w="1737"/>
            <w:tcMar>
              <w:top w:type="dxa" w:w="60"/>
              <w:left w:type="dxa" w:w="108"/>
              <w:bottom w:type="dxa" w:w="60"/>
              <w:right w:type="dxa" w:w="108"/>
            </w:tcMar>
          </w:tcPr>
          <w:p>
            <w:pPr>
              <w:spacing w:after="0" w:before="0" w:line="240"/>
            </w:pPr>
            <w:r>
              <w:rPr>
                <w:rFonts w:ascii="Calibri" w:cs="Calibri" w:eastAsia="Calibri" w:hAnsi="Calibri"/>
                <w:sz w:val="19"/>
                <w:szCs w:val="19"/>
              </w:rPr>
              <w:t xml:space="preserve">$30,000</w:t>
            </w:r>
          </w:p>
        </w:tc>
        <w:tc>
          <w:tcPr>
            <w:tcW w:type="dxa" w:w="1569"/>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1569"/>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625"/>
            <w:tcMar>
              <w:top w:type="dxa" w:w="60"/>
              <w:left w:type="dxa" w:w="108"/>
              <w:bottom w:type="dxa" w:w="60"/>
              <w:right w:type="dxa" w:w="108"/>
            </w:tcMar>
          </w:tcPr>
          <w:p>
            <w:pPr>
              <w:spacing w:after="0" w:before="0" w:line="240"/>
            </w:pPr>
            <w:r>
              <w:rPr>
                <w:rFonts w:ascii="Calibri" w:cs="Calibri" w:eastAsia="Calibri" w:hAnsi="Calibri"/>
                <w:sz w:val="19"/>
                <w:szCs w:val="19"/>
              </w:rPr>
              <w:t xml:space="preserve">$1,666.75</w:t>
            </w:r>
          </w:p>
        </w:tc>
        <w:tc>
          <w:tcPr>
            <w:tcW w:type="dxa" w:w="1347"/>
            <w:tcMar>
              <w:top w:type="dxa" w:w="60"/>
              <w:left w:type="dxa" w:w="108"/>
              <w:bottom w:type="dxa" w:w="60"/>
              <w:right w:type="dxa" w:w="108"/>
            </w:tcMar>
          </w:tcPr>
          <w:p>
            <w:pPr>
              <w:spacing w:after="0" w:before="0" w:line="240"/>
            </w:pPr>
            <w:r>
              <w:rPr>
                <w:rFonts w:ascii="Calibri" w:cs="Calibri" w:eastAsia="Calibri" w:hAnsi="Calibri"/>
                <w:sz w:val="19"/>
                <w:szCs w:val="19"/>
              </w:rPr>
              <w:t xml:space="preserve">33.3%</w:t>
            </w:r>
          </w:p>
        </w:tc>
      </w:tr>
      <w:tr>
        <w:trPr>
          <w:tblHeader w:val="false"/>
        </w:trPr>
        <w:tc>
          <w:tcPr>
            <w:tcW w:type="dxa" w:w="336"/>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177"/>
            <w:tcMar>
              <w:top w:type="dxa" w:w="60"/>
              <w:left w:type="dxa" w:w="108"/>
              <w:bottom w:type="dxa" w:w="60"/>
              <w:right w:type="dxa" w:w="108"/>
            </w:tcMar>
          </w:tcPr>
          <w:p>
            <w:pPr>
              <w:spacing w:after="0" w:before="0" w:line="240"/>
            </w:pPr>
            <w:r>
              <w:rPr>
                <w:rFonts w:ascii="Calibri" w:cs="Calibri" w:eastAsia="Calibri" w:hAnsi="Calibri"/>
                <w:sz w:val="19"/>
                <w:szCs w:val="19"/>
              </w:rPr>
              <w:t xml:space="preserve">$5,000</w:t>
            </w:r>
          </w:p>
        </w:tc>
        <w:tc>
          <w:tcPr>
            <w:tcW w:type="dxa" w:w="1737"/>
            <w:tcMar>
              <w:top w:type="dxa" w:w="60"/>
              <w:left w:type="dxa" w:w="108"/>
              <w:bottom w:type="dxa" w:w="60"/>
              <w:right w:type="dxa" w:w="108"/>
            </w:tcMar>
          </w:tcPr>
          <w:p>
            <w:pPr>
              <w:spacing w:after="0" w:before="0" w:line="240"/>
            </w:pPr>
            <w:r>
              <w:rPr>
                <w:rFonts w:ascii="Calibri" w:cs="Calibri" w:eastAsia="Calibri" w:hAnsi="Calibri"/>
                <w:sz w:val="19"/>
                <w:szCs w:val="19"/>
              </w:rPr>
              <w:t xml:space="preserve">$60,000</w:t>
            </w:r>
          </w:p>
        </w:tc>
        <w:tc>
          <w:tcPr>
            <w:tcW w:type="dxa" w:w="1569"/>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1569"/>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625"/>
            <w:tcMar>
              <w:top w:type="dxa" w:w="60"/>
              <w:left w:type="dxa" w:w="108"/>
              <w:bottom w:type="dxa" w:w="60"/>
              <w:right w:type="dxa" w:w="108"/>
            </w:tcMar>
          </w:tcPr>
          <w:p>
            <w:pPr>
              <w:spacing w:after="0" w:before="0" w:line="240"/>
            </w:pPr>
            <w:r>
              <w:rPr>
                <w:rFonts w:ascii="Calibri" w:cs="Calibri" w:eastAsia="Calibri" w:hAnsi="Calibri"/>
                <w:sz w:val="19"/>
                <w:szCs w:val="19"/>
              </w:rPr>
              <w:t xml:space="preserve">$4,166.75</w:t>
            </w:r>
          </w:p>
        </w:tc>
        <w:tc>
          <w:tcPr>
            <w:tcW w:type="dxa" w:w="1347"/>
            <w:tcMar>
              <w:top w:type="dxa" w:w="60"/>
              <w:left w:type="dxa" w:w="108"/>
              <w:bottom w:type="dxa" w:w="60"/>
              <w:right w:type="dxa" w:w="108"/>
            </w:tcMar>
          </w:tcPr>
          <w:p>
            <w:pPr>
              <w:spacing w:after="0" w:before="0" w:line="240"/>
            </w:pPr>
            <w:r>
              <w:rPr>
                <w:rFonts w:ascii="Calibri" w:cs="Calibri" w:eastAsia="Calibri" w:hAnsi="Calibri"/>
                <w:sz w:val="19"/>
                <w:szCs w:val="19"/>
              </w:rPr>
              <w:t xml:space="preserve">16.7%</w:t>
            </w:r>
          </w:p>
        </w:tc>
      </w:tr>
      <w:tr>
        <w:trPr>
          <w:tblHeader w:val="false"/>
        </w:trPr>
        <w:tc>
          <w:tcPr>
            <w:tcW w:type="dxa" w:w="336"/>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177"/>
            <w:tcMar>
              <w:top w:type="dxa" w:w="60"/>
              <w:left w:type="dxa" w:w="108"/>
              <w:bottom w:type="dxa" w:w="60"/>
              <w:right w:type="dxa" w:w="108"/>
            </w:tcMar>
          </w:tcPr>
          <w:p>
            <w:pPr>
              <w:spacing w:after="0" w:before="0" w:line="240"/>
            </w:pPr>
            <w:r>
              <w:rPr>
                <w:rFonts w:ascii="Calibri" w:cs="Calibri" w:eastAsia="Calibri" w:hAnsi="Calibri"/>
                <w:sz w:val="19"/>
                <w:szCs w:val="19"/>
              </w:rPr>
              <w:t xml:space="preserve">$7,500</w:t>
            </w:r>
          </w:p>
        </w:tc>
        <w:tc>
          <w:tcPr>
            <w:tcW w:type="dxa" w:w="1737"/>
            <w:tcMar>
              <w:top w:type="dxa" w:w="60"/>
              <w:left w:type="dxa" w:w="108"/>
              <w:bottom w:type="dxa" w:w="60"/>
              <w:right w:type="dxa" w:w="108"/>
            </w:tcMar>
          </w:tcPr>
          <w:p>
            <w:pPr>
              <w:spacing w:after="0" w:before="0" w:line="240"/>
            </w:pPr>
            <w:r>
              <w:rPr>
                <w:rFonts w:ascii="Calibri" w:cs="Calibri" w:eastAsia="Calibri" w:hAnsi="Calibri"/>
                <w:sz w:val="19"/>
                <w:szCs w:val="19"/>
              </w:rPr>
              <w:t xml:space="preserve">$90,000</w:t>
            </w:r>
          </w:p>
        </w:tc>
        <w:tc>
          <w:tcPr>
            <w:tcW w:type="dxa" w:w="1569"/>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1569"/>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625"/>
            <w:tcMar>
              <w:top w:type="dxa" w:w="60"/>
              <w:left w:type="dxa" w:w="108"/>
              <w:bottom w:type="dxa" w:w="60"/>
              <w:right w:type="dxa" w:w="108"/>
            </w:tcMar>
          </w:tcPr>
          <w:p>
            <w:pPr>
              <w:spacing w:after="0" w:before="0" w:line="240"/>
            </w:pPr>
            <w:r>
              <w:rPr>
                <w:rFonts w:ascii="Calibri" w:cs="Calibri" w:eastAsia="Calibri" w:hAnsi="Calibri"/>
                <w:sz w:val="19"/>
                <w:szCs w:val="19"/>
              </w:rPr>
              <w:t xml:space="preserve">$6,666.75</w:t>
            </w:r>
          </w:p>
        </w:tc>
        <w:tc>
          <w:tcPr>
            <w:tcW w:type="dxa" w:w="1347"/>
            <w:tcMar>
              <w:top w:type="dxa" w:w="60"/>
              <w:left w:type="dxa" w:w="108"/>
              <w:bottom w:type="dxa" w:w="60"/>
              <w:right w:type="dxa" w:w="108"/>
            </w:tcMar>
          </w:tcPr>
          <w:p>
            <w:pPr>
              <w:spacing w:after="0" w:before="0" w:line="240"/>
            </w:pPr>
            <w:r>
              <w:rPr>
                <w:rFonts w:ascii="Calibri" w:cs="Calibri" w:eastAsia="Calibri" w:hAnsi="Calibri"/>
                <w:sz w:val="19"/>
                <w:szCs w:val="19"/>
              </w:rPr>
              <w:t xml:space="preserve">11.1%</w:t>
            </w:r>
          </w:p>
        </w:tc>
      </w:tr>
    </w:tbl>
    <w:p>
      <w:pPr>
        <w:spacing w:after="160"/>
      </w:pPr>
      <w:r>
        <w:t xml:space="preserve"/>
      </w:r>
    </w:p>
    <w:p>
      <w:pPr>
        <w:spacing w:after="160" w:before="0" w:line="276"/>
        <w:jc w:val="both"/>
      </w:pPr>
      <w:r>
        <w:rPr>
          <w:rFonts w:ascii="Calibri" w:cs="Calibri" w:eastAsia="Calibri" w:hAnsi="Calibri"/>
          <w:sz w:val="22"/>
          <w:szCs w:val="22"/>
        </w:rPr>
        <w:t xml:space="preserve">These figures assume the Client Fees are collected in full. Clause 11.1 and clause 11.2 govern where they are not: both the Automatum Retention and the OBP Service Revenue accrue only against Collected Client Fees, and a shortfall is borne by each Party in the proportions above for the affected Engagement Month.</w:t>
      </w:r>
    </w:p>
    <w:p>
      <w:pPr>
        <w:pStyle w:val="Heading2"/>
        <w:keepNext/>
        <w:spacing w:after="140" w:before="300"/>
      </w:pPr>
      <w:r>
        <w:rPr>
          <w:rFonts w:ascii="Calibri" w:cs="Calibri" w:eastAsia="Calibri" w:hAnsi="Calibri"/>
          <w:b/>
          <w:bCs/>
          <w:sz w:val="24"/>
          <w:szCs w:val="24"/>
        </w:rPr>
        <w:t xml:space="preserve">2. Worked example - full Engagement Year, Tier 2</w:t>
      </w:r>
    </w:p>
    <w:p>
      <w:pPr>
        <w:spacing w:after="160" w:before="0" w:line="276"/>
        <w:jc w:val="both"/>
      </w:pPr>
      <w:r>
        <w:rPr>
          <w:rFonts w:ascii="Calibri" w:cs="Calibri" w:eastAsia="Calibri" w:hAnsi="Calibri"/>
          <w:sz w:val="22"/>
          <w:szCs w:val="22"/>
        </w:rPr>
        <w:t xml:space="preserve">Client Fees collected $60,000. Automatum Retention $9,999 accruing at $833.25 per month. OBP Service Revenue $50,001 accruing at $4,166.75 per month. OBP invoices $4,166.75 monthly in arrears under clause 11.4.</w:t>
      </w:r>
    </w:p>
    <w:p>
      <w:pPr>
        <w:pStyle w:val="Heading2"/>
        <w:keepNext/>
        <w:spacing w:after="140" w:before="300"/>
      </w:pPr>
      <w:r>
        <w:rPr>
          <w:rFonts w:ascii="Calibri" w:cs="Calibri" w:eastAsia="Calibri" w:hAnsi="Calibri"/>
          <w:b/>
          <w:bCs/>
          <w:sz w:val="24"/>
          <w:szCs w:val="24"/>
        </w:rPr>
        <w:t xml:space="preserve">3. Worked example - Engagement terminated at the end of Engagement Month 3, Tier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40"/>
        <w:gridCol w:w="1620"/>
      </w:tblGrid>
      <w:tr>
        <w:trPr>
          <w:tblHeader/>
        </w:trPr>
        <w:tc>
          <w:tcPr>
            <w:tcW w:type="dxa" w:w="77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16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Amount</w:t>
            </w:r>
          </w:p>
        </w:tc>
      </w:tr>
      <w:tr>
        <w:trPr>
          <w:tblHeader w:val="false"/>
        </w:trPr>
        <w:tc>
          <w:tcPr>
            <w:tcW w:type="dxa" w:w="7740"/>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collected (3 x $2,500)</w:t>
            </w:r>
          </w:p>
        </w:tc>
        <w:tc>
          <w:tcPr>
            <w:tcW w:type="dxa" w:w="1620"/>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r>
      <w:tr>
        <w:trPr>
          <w:tblHeader w:val="false"/>
        </w:trPr>
        <w:tc>
          <w:tcPr>
            <w:tcW w:type="dxa" w:w="774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Retention accrued (3 x $833.25)</w:t>
            </w:r>
          </w:p>
        </w:tc>
        <w:tc>
          <w:tcPr>
            <w:tcW w:type="dxa" w:w="1620"/>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r>
      <w:tr>
        <w:trPr>
          <w:tblHeader w:val="false"/>
        </w:trPr>
        <w:tc>
          <w:tcPr>
            <w:tcW w:type="dxa" w:w="7740"/>
            <w:tcMar>
              <w:top w:type="dxa" w:w="60"/>
              <w:left w:type="dxa" w:w="108"/>
              <w:bottom w:type="dxa" w:w="60"/>
              <w:right w:type="dxa" w:w="108"/>
            </w:tcMar>
          </w:tcPr>
          <w:p>
            <w:pPr>
              <w:spacing w:after="0" w:before="0" w:line="240"/>
            </w:pPr>
            <w:r>
              <w:rPr>
                <w:rFonts w:ascii="Calibri" w:cs="Calibri" w:eastAsia="Calibri" w:hAnsi="Calibri"/>
                <w:sz w:val="19"/>
                <w:szCs w:val="19"/>
              </w:rPr>
              <w:t xml:space="preserve">OBP Service Revenue accrued (3 x $1,666.75)</w:t>
            </w:r>
          </w:p>
        </w:tc>
        <w:tc>
          <w:tcPr>
            <w:tcW w:type="dxa" w:w="1620"/>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r>
    </w:tbl>
    <w:p>
      <w:pPr>
        <w:spacing w:after="160"/>
      </w:pPr>
      <w:r>
        <w:t xml:space="preserve"/>
      </w:r>
    </w:p>
    <w:p>
      <w:pPr>
        <w:spacing w:after="160" w:before="0" w:line="276"/>
        <w:jc w:val="both"/>
      </w:pPr>
      <w:r>
        <w:rPr>
          <w:rFonts w:ascii="Calibri" w:cs="Calibri" w:eastAsia="Calibri" w:hAnsi="Calibri"/>
          <w:sz w:val="22"/>
          <w:szCs w:val="22"/>
        </w:rPr>
        <w:t xml:space="preserve">Neither Party recovers a further amount from the other on account of the terminated Engagement, except as clause 4 of this Schedule provides. Automatum has recovered $2,499.75 of the $9,999 it commits annually for its Enterprise tier. The Parties acknowledge that this shortfall is a consequence of the pro rata accrual in clause 11.3 and that it is addressed, if at all, in the Client Agreement rather than in this Agreement. Paragraph 3 of Schedule 8 records this as an open commercial item.</w:t>
      </w:r>
    </w:p>
    <w:p>
      <w:pPr>
        <w:pStyle w:val="Heading2"/>
        <w:keepNext/>
        <w:spacing w:after="140" w:before="300"/>
      </w:pPr>
      <w:r>
        <w:rPr>
          <w:rFonts w:ascii="Calibri" w:cs="Calibri" w:eastAsia="Calibri" w:hAnsi="Calibri"/>
          <w:b/>
          <w:bCs/>
          <w:sz w:val="24"/>
          <w:szCs w:val="24"/>
        </w:rPr>
        <w:t xml:space="preserve">4. Early termination of an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6"/>
        <w:gridCol w:w="7354"/>
      </w:tblGrid>
      <w:tr>
        <w:trPr>
          <w:tblHeader/>
        </w:trPr>
        <w:tc>
          <w:tcPr>
            <w:tcW w:type="dxa" w:w="200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Cause</w:t>
            </w:r>
          </w:p>
        </w:tc>
        <w:tc>
          <w:tcPr>
            <w:tcW w:type="dxa" w:w="735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Outcome</w:t>
            </w:r>
          </w:p>
        </w:tc>
      </w:tr>
      <w:tr>
        <w:trPr>
          <w:tblHeader w:val="false"/>
        </w:trPr>
        <w:tc>
          <w:tcPr>
            <w:tcW w:type="dxa" w:w="200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terminates, or the Engagement expires</w:t>
            </w:r>
          </w:p>
        </w:tc>
        <w:tc>
          <w:tcPr>
            <w:tcW w:type="dxa" w:w="7354"/>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keeps what accrued to the termination date. Any early termination charge collected from the Client is split in the proportions in paragraph 1 for the Tier concerned.</w:t>
            </w:r>
          </w:p>
        </w:tc>
      </w:tr>
      <w:tr>
        <w:trPr>
          <w:tblHeader w:val="false"/>
        </w:trPr>
        <w:tc>
          <w:tcPr>
            <w:tcW w:type="dxa" w:w="2006"/>
            <w:tcMar>
              <w:top w:type="dxa" w:w="60"/>
              <w:left w:type="dxa" w:w="108"/>
              <w:bottom w:type="dxa" w:w="60"/>
              <w:right w:type="dxa" w:w="108"/>
            </w:tcMar>
          </w:tcPr>
          <w:p>
            <w:pPr>
              <w:spacing w:after="0" w:before="0" w:line="240"/>
            </w:pPr>
            <w:r>
              <w:rPr>
                <w:rFonts w:ascii="Calibri" w:cs="Calibri" w:eastAsia="Calibri" w:hAnsi="Calibri"/>
                <w:sz w:val="19"/>
                <w:szCs w:val="19"/>
              </w:rPr>
              <w:t xml:space="preserve">Terminated for OBP's breach or Chronic Failure</w:t>
            </w:r>
          </w:p>
        </w:tc>
        <w:tc>
          <w:tcPr>
            <w:tcW w:type="dxa" w:w="7354"/>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keeps what accrued to the termination date. OBP forfeits its share of any early termination charge and funds transition assistance under clause 24.2.</w:t>
            </w:r>
          </w:p>
        </w:tc>
      </w:tr>
      <w:tr>
        <w:trPr>
          <w:tblHeader w:val="false"/>
        </w:trPr>
        <w:tc>
          <w:tcPr>
            <w:tcW w:type="dxa" w:w="2006"/>
            <w:tcMar>
              <w:top w:type="dxa" w:w="60"/>
              <w:left w:type="dxa" w:w="108"/>
              <w:bottom w:type="dxa" w:w="60"/>
              <w:right w:type="dxa" w:w="108"/>
            </w:tcMar>
          </w:tcPr>
          <w:p>
            <w:pPr>
              <w:spacing w:after="0" w:before="0" w:line="240"/>
            </w:pPr>
            <w:r>
              <w:rPr>
                <w:rFonts w:ascii="Calibri" w:cs="Calibri" w:eastAsia="Calibri" w:hAnsi="Calibri"/>
                <w:sz w:val="19"/>
                <w:szCs w:val="19"/>
              </w:rPr>
              <w:t xml:space="preserve">Terminated for Automatum's breach or convenience</w:t>
            </w:r>
          </w:p>
        </w:tc>
        <w:tc>
          <w:tcPr>
            <w:tcW w:type="dxa" w:w="7354"/>
            <w:tcMar>
              <w:top w:type="dxa" w:w="60"/>
              <w:left w:type="dxa" w:w="108"/>
              <w:bottom w:type="dxa" w:w="60"/>
              <w:right w:type="dxa" w:w="108"/>
            </w:tcMar>
          </w:tcPr>
          <w:p>
            <w:pPr>
              <w:spacing w:after="0" w:before="0" w:line="240"/>
            </w:pPr>
            <w:r>
              <w:rPr>
                <w:rFonts w:ascii="Calibri" w:cs="Calibri" w:eastAsia="Calibri" w:hAnsi="Calibri"/>
                <w:sz w:val="19"/>
                <w:szCs w:val="19"/>
              </w:rPr>
              <w:t xml:space="preserve">OBP is paid the greater of three (3) months' OBP Service Revenue and the OBP Service Revenue for the remainder of the Engagement Year, plus evidenced demobilization costs.</w:t>
            </w:r>
          </w:p>
        </w:tc>
      </w:tr>
      <w:tr>
        <w:trPr>
          <w:tblHeader w:val="false"/>
        </w:trPr>
        <w:tc>
          <w:tcPr>
            <w:tcW w:type="dxa" w:w="2006"/>
            <w:tcMar>
              <w:top w:type="dxa" w:w="60"/>
              <w:left w:type="dxa" w:w="108"/>
              <w:bottom w:type="dxa" w:w="60"/>
              <w:right w:type="dxa" w:w="108"/>
            </w:tcMar>
          </w:tcPr>
          <w:p>
            <w:pPr>
              <w:spacing w:after="0" w:before="0" w:line="240"/>
            </w:pPr>
            <w:r>
              <w:rPr>
                <w:rFonts w:ascii="Calibri" w:cs="Calibri" w:eastAsia="Calibri" w:hAnsi="Calibri"/>
                <w:sz w:val="19"/>
                <w:szCs w:val="19"/>
              </w:rPr>
              <w:t xml:space="preserve">No fault under clause 14.3 or clause 25.3</w:t>
            </w:r>
          </w:p>
        </w:tc>
        <w:tc>
          <w:tcPr>
            <w:tcW w:type="dxa" w:w="7354"/>
            <w:tcMar>
              <w:top w:type="dxa" w:w="60"/>
              <w:left w:type="dxa" w:w="108"/>
              <w:bottom w:type="dxa" w:w="60"/>
              <w:right w:type="dxa" w:w="108"/>
            </w:tcMar>
          </w:tcPr>
          <w:p>
            <w:pPr>
              <w:spacing w:after="0" w:before="0" w:line="240"/>
            </w:pPr>
            <w:r>
              <w:rPr>
                <w:rFonts w:ascii="Calibri" w:cs="Calibri" w:eastAsia="Calibri" w:hAnsi="Calibri"/>
                <w:sz w:val="19"/>
                <w:szCs w:val="19"/>
              </w:rPr>
              <w:t xml:space="preserve">Losses lie where they fall. Each Party keeps what accrued to the termination date. Any early termination charge collected is split in the proportions in paragraph 1.</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Tier changes</w:t>
      </w:r>
    </w:p>
    <w:p>
      <w:pPr>
        <w:spacing w:after="160" w:before="0" w:line="276"/>
        <w:jc w:val="both"/>
      </w:pPr>
      <w:r>
        <w:rPr>
          <w:rFonts w:ascii="Calibri" w:cs="Calibri" w:eastAsia="Calibri" w:hAnsi="Calibri"/>
          <w:b/>
          <w:bCs/>
          <w:sz w:val="22"/>
          <w:szCs w:val="22"/>
        </w:rPr>
        <w:t xml:space="preserve">5.1 Upgrade.</w:t>
      </w:r>
      <w:r>
        <w:rPr>
          <w:rFonts w:ascii="Calibri" w:cs="Calibri" w:eastAsia="Calibri" w:hAnsi="Calibri"/>
          <w:sz w:val="22"/>
          <w:szCs w:val="22"/>
        </w:rPr>
        <w:t xml:space="preserve"> Effective the first day of the Engagement Month following the Client's written request. The enhanced service levels in Schedule 4 apply from thirty (30) days after the effective date, so that OBP can staff to them.</w:t>
      </w:r>
    </w:p>
    <w:p>
      <w:pPr>
        <w:spacing w:after="160" w:before="0" w:line="276"/>
        <w:jc w:val="both"/>
      </w:pPr>
      <w:r>
        <w:rPr>
          <w:rFonts w:ascii="Calibri" w:cs="Calibri" w:eastAsia="Calibri" w:hAnsi="Calibri"/>
          <w:b/>
          <w:bCs/>
          <w:sz w:val="22"/>
          <w:szCs w:val="22"/>
        </w:rPr>
        <w:t xml:space="preserve">5.2 Downgrade.</w:t>
      </w:r>
      <w:r>
        <w:rPr>
          <w:rFonts w:ascii="Calibri" w:cs="Calibri" w:eastAsia="Calibri" w:hAnsi="Calibri"/>
          <w:sz w:val="22"/>
          <w:szCs w:val="22"/>
        </w:rPr>
        <w:t xml:space="preserve"> Effective only at an Engagement quarter boundary, on sixty (60) days' notice, because OBP staffs to the Tier.</w:t>
      </w:r>
    </w:p>
    <w:p>
      <w:pPr>
        <w:spacing w:after="160" w:before="0" w:line="276"/>
        <w:jc w:val="both"/>
      </w:pPr>
      <w:r>
        <w:rPr>
          <w:rFonts w:ascii="Calibri" w:cs="Calibri" w:eastAsia="Calibri" w:hAnsi="Calibri"/>
          <w:b/>
          <w:bCs/>
          <w:sz w:val="22"/>
          <w:szCs w:val="22"/>
        </w:rPr>
        <w:t xml:space="preserve">5.3 Roster carry-over on downgrade.</w:t>
      </w:r>
      <w:r>
        <w:rPr>
          <w:rFonts w:ascii="Calibri" w:cs="Calibri" w:eastAsia="Calibri" w:hAnsi="Calibri"/>
          <w:sz w:val="22"/>
          <w:szCs w:val="22"/>
        </w:rPr>
        <w:t xml:space="preserve"> The new Tier's partner ceiling applies to net new Recruited Partners only. Continued management of an existing roster above the level the new Tier supports is, at the Parties' election recorded in a change order under clause 14.5: chargeable at the rate card in paragraph 6; or resolved by trimming the roster to the supported level by agreement within sixty (60) days; or resolved by re-scoping the Engagement as a bespoke tier. Absent agreement within sixty (60) days, OBP's obligation is limited to the new Tier's supported level and Automatum carries the difference against the Client. Without this paragraph a Tier 3 Engagement could downgrade to Tier 1 and leave OBP managing an uncapped roster for $20,001 per year.</w:t>
      </w:r>
    </w:p>
    <w:p>
      <w:pPr>
        <w:pStyle w:val="Heading2"/>
        <w:keepNext/>
        <w:spacing w:after="140" w:before="300"/>
      </w:pPr>
      <w:r>
        <w:rPr>
          <w:rFonts w:ascii="Calibri" w:cs="Calibri" w:eastAsia="Calibri" w:hAnsi="Calibri"/>
          <w:b/>
          <w:bCs/>
          <w:sz w:val="24"/>
          <w:szCs w:val="24"/>
        </w:rPr>
        <w:t xml:space="preserve">6. Rate card</w:t>
      </w:r>
    </w:p>
    <w:p>
      <w:pPr>
        <w:spacing w:after="160" w:before="0" w:line="276"/>
        <w:jc w:val="both"/>
      </w:pPr>
      <w:r>
        <w:rPr>
          <w:rFonts w:ascii="Calibri" w:cs="Calibri" w:eastAsia="Calibri" w:hAnsi="Calibri"/>
          <w:sz w:val="22"/>
          <w:szCs w:val="22"/>
        </w:rPr>
        <w:t xml:space="preserve">Out of scope work under clause 14.5, transition assistance chargeable under clause 24.2, and roster carry-over under paragraph 5.3 are charged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Analyst</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Programme Director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PSR Administrator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bl>
    <w:p>
      <w:pPr>
        <w:spacing w:after="160"/>
      </w:pPr>
      <w:r>
        <w:t xml:space="preserve"/>
      </w:r>
    </w:p>
    <w:p>
      <w:pPr>
        <w:spacing w:after="160" w:before="0" w:line="276"/>
        <w:jc w:val="both"/>
      </w:pPr>
      <w:r>
        <w:rPr>
          <w:rFonts w:ascii="Calibri" w:cs="Calibri" w:eastAsia="Calibri" w:hAnsi="Calibri"/>
          <w:sz w:val="22"/>
          <w:szCs w:val="22"/>
        </w:rPr>
        <w:t xml:space="preserve">A day is eight (8) hours. Travel and expenses are chargeable at cost with prior written approval.</w:t>
      </w:r>
    </w:p>
    <w:p>
      <w:pPr>
        <w:pStyle w:val="Heading1"/>
        <w:pageBreakBefore/>
        <w:spacing w:after="200" w:before="240"/>
        <w:jc w:val="left"/>
      </w:pPr>
      <w:r>
        <w:rPr>
          <w:rFonts w:ascii="Calibri" w:cs="Calibri" w:eastAsia="Calibri" w:hAnsi="Calibri"/>
          <w:b/>
          <w:bCs/>
          <w:sz w:val="28"/>
          <w:szCs w:val="28"/>
        </w:rPr>
        <w:t xml:space="preserve">Schedule 3 - White Label and Brand Rules</w:t>
      </w:r>
    </w:p>
    <w:p>
      <w:pPr>
        <w:pStyle w:val="Heading2"/>
        <w:keepNext/>
        <w:spacing w:after="140" w:before="300"/>
      </w:pPr>
      <w:r>
        <w:rPr>
          <w:rFonts w:ascii="Calibri" w:cs="Calibri" w:eastAsia="Calibri" w:hAnsi="Calibri"/>
          <w:b/>
          <w:bCs/>
          <w:sz w:val="24"/>
          <w:szCs w:val="24"/>
        </w:rPr>
        <w:t xml:space="preserve">1. Identity</w:t>
      </w:r>
    </w:p>
    <w:p>
      <w:pPr>
        <w:spacing w:after="160" w:before="0" w:line="276"/>
        <w:jc w:val="both"/>
      </w:pPr>
      <w:r>
        <w:rPr>
          <w:rFonts w:ascii="Calibri" w:cs="Calibri" w:eastAsia="Calibri" w:hAnsi="Calibri"/>
          <w:b/>
          <w:bCs/>
          <w:sz w:val="22"/>
          <w:szCs w:val="22"/>
        </w:rPr>
        <w:t xml:space="preserve">1.1</w:t>
      </w:r>
      <w:r>
        <w:rPr>
          <w:rFonts w:ascii="Calibri" w:cs="Calibri" w:eastAsia="Calibri" w:hAnsi="Calibri"/>
          <w:sz w:val="22"/>
          <w:szCs w:val="22"/>
        </w:rPr>
        <w:t xml:space="preserve"> OBP personnel performing client-facing or partner-facing work operate under the Automatum Brand, using Automatum-supplied email addresses on an Automatum domain, Automatum calendar invitations, Automatum document templates and Automatum email signatures. Automatum supplies and administers these accounts and may revoke them at any time.</w:t>
      </w:r>
    </w:p>
    <w:p>
      <w:pPr>
        <w:spacing w:after="160" w:before="0" w:line="276"/>
        <w:jc w:val="both"/>
      </w:pPr>
      <w:r>
        <w:rPr>
          <w:rFonts w:ascii="Calibri" w:cs="Calibri" w:eastAsia="Calibri" w:hAnsi="Calibri"/>
          <w:b/>
          <w:bCs/>
          <w:sz w:val="22"/>
          <w:szCs w:val="22"/>
        </w:rPr>
        <w:t xml:space="preserve">1.2</w:t>
      </w:r>
      <w:r>
        <w:rPr>
          <w:rFonts w:ascii="Calibri" w:cs="Calibri" w:eastAsia="Calibri" w:hAnsi="Calibri"/>
          <w:sz w:val="22"/>
          <w:szCs w:val="22"/>
        </w:rPr>
        <w:t xml:space="preserve"> OBP personnel are presented as "the Automatum channel team".</w:t>
      </w:r>
    </w:p>
    <w:p>
      <w:pPr>
        <w:spacing w:after="160" w:before="0" w:line="276"/>
        <w:jc w:val="both"/>
      </w:pPr>
      <w:r>
        <w:rPr>
          <w:rFonts w:ascii="Calibri" w:cs="Calibri" w:eastAsia="Calibri" w:hAnsi="Calibri"/>
          <w:b/>
          <w:bCs/>
          <w:sz w:val="22"/>
          <w:szCs w:val="22"/>
        </w:rPr>
        <w:t xml:space="preserve">1.3</w:t>
      </w:r>
      <w:r>
        <w:rPr>
          <w:rFonts w:ascii="Calibri" w:cs="Calibri" w:eastAsia="Calibri" w:hAnsi="Calibri"/>
          <w:sz w:val="22"/>
          <w:szCs w:val="22"/>
        </w:rPr>
        <w:t xml:space="preserve"> OBP personnel may say that they are part of the Automatum channel team, that they work on Automatum's channel programme, and that they are contractors or partners of Automatum where directly asked. OBP personnel may </w:t>
      </w:r>
      <w:r>
        <w:rPr>
          <w:rFonts w:ascii="Calibri" w:cs="Calibri" w:eastAsia="Calibri" w:hAnsi="Calibri"/>
          <w:b/>
          <w:bCs/>
          <w:sz w:val="22"/>
          <w:szCs w:val="22"/>
        </w:rPr>
        <w:t xml:space="preserve">not</w:t>
      </w:r>
      <w:r>
        <w:rPr>
          <w:rFonts w:ascii="Calibri" w:cs="Calibri" w:eastAsia="Calibri" w:hAnsi="Calibri"/>
          <w:sz w:val="22"/>
          <w:szCs w:val="22"/>
        </w:rPr>
        <w:t xml:space="preserve"> state or imply that they are employed by Automatum, may not sign any document as an employee or officer of Automatum, and may not complete an employment verification, reference or immigration form in Automatum's name. Clause 7.6 governs.</w:t>
      </w:r>
    </w:p>
    <w:p>
      <w:pPr>
        <w:spacing w:after="160" w:before="0" w:line="276"/>
        <w:jc w:val="both"/>
      </w:pPr>
      <w:r>
        <w:rPr>
          <w:rFonts w:ascii="Calibri" w:cs="Calibri" w:eastAsia="Calibri" w:hAnsi="Calibri"/>
          <w:b/>
          <w:bCs/>
          <w:sz w:val="22"/>
          <w:szCs w:val="22"/>
        </w:rPr>
        <w:t xml:space="preserve">1.4</w:t>
      </w:r>
      <w:r>
        <w:rPr>
          <w:rFonts w:ascii="Calibri" w:cs="Calibri" w:eastAsia="Calibri" w:hAnsi="Calibri"/>
          <w:sz w:val="22"/>
          <w:szCs w:val="22"/>
        </w:rPr>
        <w:t xml:space="preserve"> Automatum does not set OBP personnel's hours, supervise their manner of work, conduct their performance reviews, or determine their compensation. OBP supplies their equipment and their working environment. Requests about an individual are made to OBP's relationship manager under clause 9.5, never to the individual.</w:t>
      </w:r>
    </w:p>
    <w:p>
      <w:pPr>
        <w:pStyle w:val="Heading2"/>
        <w:keepNext/>
        <w:spacing w:after="140" w:before="300"/>
      </w:pPr>
      <w:r>
        <w:rPr>
          <w:rFonts w:ascii="Calibri" w:cs="Calibri" w:eastAsia="Calibri" w:hAnsi="Calibri"/>
          <w:b/>
          <w:bCs/>
          <w:sz w:val="24"/>
          <w:szCs w:val="24"/>
        </w:rPr>
        <w:t xml:space="preserve">2. Client and partner communications</w:t>
      </w:r>
    </w:p>
    <w:p>
      <w:pPr>
        <w:spacing w:after="160" w:before="0" w:line="276"/>
        <w:jc w:val="both"/>
      </w:pPr>
      <w:r>
        <w:rPr>
          <w:rFonts w:ascii="Calibri" w:cs="Calibri" w:eastAsia="Calibri" w:hAnsi="Calibri"/>
          <w:b/>
          <w:bCs/>
          <w:sz w:val="22"/>
          <w:szCs w:val="22"/>
        </w:rPr>
        <w:t xml:space="preserve">2.1 Single intake.</w:t>
      </w:r>
      <w:r>
        <w:rPr>
          <w:rFonts w:ascii="Calibri" w:cs="Calibri" w:eastAsia="Calibri" w:hAnsi="Calibri"/>
          <w:sz w:val="22"/>
          <w:szCs w:val="22"/>
        </w:rPr>
        <w:t xml:space="preserve"> All Client and partner contact routes through a single Automatum-branded intake channel stated in the Engagement Order. OBP triages and routes under Schedule 4 paragraph 6.</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OBP will not initiate contact with a Registered Client outside the intake channel and the named personas, and will not contact a Registered Client about any matter between the Parties. Clause 7.4 governs.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Calls and meetings are held on Automatum-branded conferencing. Recording follows Automatum's policy and applicable law.</w:t>
      </w:r>
    </w:p>
    <w:p>
      <w:pPr>
        <w:spacing w:after="160" w:before="0" w:line="276"/>
        <w:jc w:val="both"/>
      </w:pPr>
      <w:r>
        <w:rPr>
          <w:rFonts w:ascii="Calibri" w:cs="Calibri" w:eastAsia="Calibri" w:hAnsi="Calibri"/>
          <w:b/>
          <w:bCs/>
          <w:sz w:val="22"/>
          <w:szCs w:val="22"/>
        </w:rPr>
        <w:t xml:space="preserve">2.4</w:t>
      </w:r>
      <w:r>
        <w:rPr>
          <w:rFonts w:ascii="Calibri" w:cs="Calibri" w:eastAsia="Calibri" w:hAnsi="Calibri"/>
          <w:sz w:val="22"/>
          <w:szCs w:val="22"/>
        </w:rPr>
        <w:t xml:space="preserve"> The customer relationship management system of record for client-facing activity is Automatum's, as stated in the Engagement Order. OBP will not hold Registered Client contact records in its own systems except within the PSR tenant for that Client.</w:t>
      </w:r>
    </w:p>
    <w:p>
      <w:pPr>
        <w:pStyle w:val="Heading2"/>
        <w:keepNext/>
        <w:spacing w:after="140" w:before="300"/>
      </w:pPr>
      <w:r>
        <w:rPr>
          <w:rFonts w:ascii="Calibri" w:cs="Calibri" w:eastAsia="Calibri" w:hAnsi="Calibri"/>
          <w:b/>
          <w:bCs/>
          <w:sz w:val="24"/>
          <w:szCs w:val="24"/>
        </w:rPr>
        <w:t xml:space="preserve">3. Materials</w:t>
      </w:r>
    </w:p>
    <w:p>
      <w:pPr>
        <w:spacing w:after="160" w:before="0" w:line="276"/>
        <w:jc w:val="both"/>
      </w:pPr>
      <w:r>
        <w:rPr>
          <w:rFonts w:ascii="Calibri" w:cs="Calibri" w:eastAsia="Calibri" w:hAnsi="Calibri"/>
          <w:b/>
          <w:bCs/>
          <w:sz w:val="22"/>
          <w:szCs w:val="22"/>
        </w:rPr>
        <w:t xml:space="preserve">3.1</w:t>
      </w:r>
      <w:r>
        <w:rPr>
          <w:rFonts w:ascii="Calibri" w:cs="Calibri" w:eastAsia="Calibri" w:hAnsi="Calibri"/>
          <w:sz w:val="22"/>
          <w:szCs w:val="22"/>
        </w:rPr>
        <w:t xml:space="preserve"> All client-facing and partner-facing materials carry the Automatum Brand and no OBP or PSR vendor branding. Clause 10.3 governs the one exception and the notice OBP must give.</w:t>
      </w:r>
    </w:p>
    <w:p>
      <w:pPr>
        <w:spacing w:after="160" w:before="0" w:line="276"/>
        <w:jc w:val="both"/>
      </w:pPr>
      <w:r>
        <w:rPr>
          <w:rFonts w:ascii="Calibri" w:cs="Calibri" w:eastAsia="Calibri" w:hAnsi="Calibri"/>
          <w:b/>
          <w:bCs/>
          <w:sz w:val="22"/>
          <w:szCs w:val="22"/>
        </w:rPr>
        <w:t xml:space="preserve">3.2</w:t>
      </w:r>
      <w:r>
        <w:rPr>
          <w:rFonts w:ascii="Calibri" w:cs="Calibri" w:eastAsia="Calibri" w:hAnsi="Calibri"/>
          <w:sz w:val="22"/>
          <w:szCs w:val="22"/>
        </w:rPr>
        <w:t xml:space="preserve"> Automatum supplies brand guidelines and approves material templates. OBP will not vary an approved template in a way that affects the Automatum Brand without approval.</w:t>
      </w:r>
    </w:p>
    <w:p>
      <w:pPr>
        <w:spacing w:after="160" w:before="0" w:line="276"/>
        <w:jc w:val="both"/>
      </w:pPr>
      <w:r>
        <w:rPr>
          <w:rFonts w:ascii="Calibri" w:cs="Calibri" w:eastAsia="Calibri" w:hAnsi="Calibri"/>
          <w:b/>
          <w:bCs/>
          <w:sz w:val="22"/>
          <w:szCs w:val="22"/>
        </w:rPr>
        <w:t xml:space="preserve">3.3</w:t>
      </w:r>
      <w:r>
        <w:rPr>
          <w:rFonts w:ascii="Calibri" w:cs="Calibri" w:eastAsia="Calibri" w:hAnsi="Calibri"/>
          <w:sz w:val="22"/>
          <w:szCs w:val="22"/>
        </w:rPr>
        <w:t xml:space="preserve"> OBP will not publish, present or reuse any material produced for a Registered Client outside that Engagement, subject to clause 16.2.</w:t>
      </w:r>
    </w:p>
    <w:p>
      <w:pPr>
        <w:pStyle w:val="Heading2"/>
        <w:keepNext/>
        <w:spacing w:after="140" w:before="300"/>
      </w:pPr>
      <w:r>
        <w:rPr>
          <w:rFonts w:ascii="Calibri" w:cs="Calibri" w:eastAsia="Calibri" w:hAnsi="Calibri"/>
          <w:b/>
          <w:bCs/>
          <w:sz w:val="24"/>
          <w:szCs w:val="24"/>
        </w:rPr>
        <w:t xml:space="preserve">4. On termination</w:t>
      </w:r>
    </w:p>
    <w:p>
      <w:pPr>
        <w:spacing w:after="160" w:before="0" w:line="276"/>
        <w:jc w:val="both"/>
      </w:pPr>
      <w:r>
        <w:rPr>
          <w:rFonts w:ascii="Calibri" w:cs="Calibri" w:eastAsia="Calibri" w:hAnsi="Calibri"/>
          <w:sz w:val="22"/>
          <w:szCs w:val="22"/>
        </w:rPr>
        <w:t xml:space="preserve">Clause 24.4 applies. OBP will return or destroy Automatum Brand assets, cease using the Automatum domain and email accounts, and cooperate with introductions to the Recruited Partner roster on Automatum-branded correspondence.</w:t>
      </w:r>
    </w:p>
    <w:p>
      <w:pPr>
        <w:pStyle w:val="Heading1"/>
        <w:pageBreakBefore/>
        <w:spacing w:after="200" w:before="240"/>
        <w:jc w:val="left"/>
      </w:pPr>
      <w:r>
        <w:rPr>
          <w:rFonts w:ascii="Calibri" w:cs="Calibri" w:eastAsia="Calibri" w:hAnsi="Calibri"/>
          <w:b/>
          <w:bCs/>
          <w:sz w:val="28"/>
          <w:szCs w:val="28"/>
        </w:rPr>
        <w:t xml:space="preserve">Schedule 4 - Service Levels, Measurement and Credits</w:t>
      </w:r>
    </w:p>
    <w:p>
      <w:pPr>
        <w:pStyle w:val="Heading2"/>
        <w:keepNext/>
        <w:spacing w:after="140" w:before="300"/>
      </w:pPr>
      <w:r>
        <w:rPr>
          <w:rFonts w:ascii="Calibri" w:cs="Calibri" w:eastAsia="Calibri" w:hAnsi="Calibri"/>
          <w:b/>
          <w:bCs/>
          <w:sz w:val="24"/>
          <w:szCs w:val="24"/>
        </w:rPr>
        <w:t xml:space="preserve">1. Business Hours</w:t>
      </w:r>
    </w:p>
    <w:p>
      <w:pPr>
        <w:spacing w:after="160" w:before="0" w:line="276"/>
        <w:jc w:val="both"/>
      </w:pPr>
      <w:r>
        <w:rPr>
          <w:rFonts w:ascii="Calibri" w:cs="Calibri" w:eastAsia="Calibri" w:hAnsi="Calibri"/>
          <w:sz w:val="22"/>
          <w:szCs w:val="22"/>
        </w:rPr>
        <w:t xml:space="preserve">Business Hours are 9:00 a.m. to 6:00 p.m. Eastern Time on a Business Day, unless the Engagement Order states a different coverage window for a Tier 3 Deal Desk Owner.</w:t>
      </w:r>
    </w:p>
    <w:p>
      <w:pPr>
        <w:pStyle w:val="Heading2"/>
        <w:keepNext/>
        <w:spacing w:after="140" w:before="300"/>
      </w:pPr>
      <w:r>
        <w:rPr>
          <w:rFonts w:ascii="Calibri" w:cs="Calibri" w:eastAsia="Calibri" w:hAnsi="Calibri"/>
          <w:b/>
          <w:bCs/>
          <w:sz w:val="24"/>
          <w:szCs w:val="24"/>
        </w:rPr>
        <w:t xml:space="preserve">2. Deal desk turnaround</w:t>
      </w:r>
    </w:p>
    <w:p>
      <w:pPr>
        <w:spacing w:after="160" w:before="0" w:line="276"/>
        <w:jc w:val="both"/>
      </w:pPr>
      <w:r>
        <w:rPr>
          <w:rFonts w:ascii="Calibri" w:cs="Calibri" w:eastAsia="Calibri" w:hAnsi="Calibri"/>
          <w:sz w:val="22"/>
          <w:szCs w:val="22"/>
        </w:rPr>
        <w:t xml:space="preserve">A Deal Desk Request is "Complete" when it contains every item in the request form in the Engagement Order. The clock starts when a Complete Deal Desk Request is received through the intake channel, or at the start of the next Business Hour if received outside Business Hours. The clock stops when the responsible Party delivers its output.</w:t>
      </w:r>
    </w:p>
    <w:p>
      <w:pPr>
        <w:spacing w:after="160" w:before="0" w:line="276"/>
        <w:jc w:val="both"/>
      </w:pPr>
      <w:r>
        <w:rPr>
          <w:rFonts w:ascii="Calibri" w:cs="Calibri" w:eastAsia="Calibri" w:hAnsi="Calibri"/>
          <w:sz w:val="22"/>
          <w:szCs w:val="22"/>
        </w:rPr>
        <w:t xml:space="preserve">The total turnaround is split into two legs, because Automatum issues offers as seller of record and OBP cannot control issuance. An "Issuance-Ready Package" is a completed CPPO structure, pricing, partner and end customer details and supporting documentation in the form in the Engagement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2"/>
        <w:gridCol w:w="2913"/>
        <w:gridCol w:w="3161"/>
        <w:gridCol w:w="2914"/>
      </w:tblGrid>
      <w:tr>
        <w:trPr>
          <w:tblHeader/>
        </w:trPr>
        <w:tc>
          <w:tcPr>
            <w:tcW w:type="dxa" w:w="37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291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Total turnaround</w:t>
            </w:r>
          </w:p>
        </w:tc>
        <w:tc>
          <w:tcPr>
            <w:tcW w:type="dxa" w:w="316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leg: Complete request to Issuance-Ready Package</w:t>
            </w:r>
          </w:p>
        </w:tc>
        <w:tc>
          <w:tcPr>
            <w:tcW w:type="dxa" w:w="291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leg: package received to offer issued</w:t>
            </w:r>
          </w:p>
        </w:tc>
      </w:tr>
      <w:tr>
        <w:trPr>
          <w:tblHeader w:val="false"/>
        </w:trPr>
        <w:tc>
          <w:tcPr>
            <w:tcW w:type="dxa" w:w="372"/>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2913"/>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 after receipt</w:t>
            </w:r>
          </w:p>
        </w:tc>
        <w:tc>
          <w:tcPr>
            <w:tcW w:type="dxa" w:w="3161"/>
            <w:tcMar>
              <w:top w:type="dxa" w:w="60"/>
              <w:left w:type="dxa" w:w="108"/>
              <w:bottom w:type="dxa" w:w="60"/>
              <w:right w:type="dxa" w:w="108"/>
            </w:tcMar>
          </w:tcPr>
          <w:p>
            <w:pPr>
              <w:spacing w:after="0" w:before="0" w:line="240"/>
            </w:pPr>
            <w:r>
              <w:rPr>
                <w:rFonts w:ascii="Calibri" w:cs="Calibri" w:eastAsia="Calibri" w:hAnsi="Calibri"/>
                <w:sz w:val="19"/>
                <w:szCs w:val="19"/>
              </w:rPr>
              <w:t xml:space="preserve">6 Business Hours</w:t>
            </w:r>
          </w:p>
        </w:tc>
        <w:tc>
          <w:tcPr>
            <w:tcW w:type="dxa" w:w="2914"/>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72"/>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2913"/>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3161"/>
            <w:tcMar>
              <w:top w:type="dxa" w:w="60"/>
              <w:left w:type="dxa" w:w="108"/>
              <w:bottom w:type="dxa" w:w="60"/>
              <w:right w:type="dxa" w:w="108"/>
            </w:tcMar>
          </w:tcPr>
          <w:p>
            <w:pPr>
              <w:spacing w:after="0" w:before="0" w:line="240"/>
            </w:pPr>
            <w:r>
              <w:rPr>
                <w:rFonts w:ascii="Calibri" w:cs="Calibri" w:eastAsia="Calibri" w:hAnsi="Calibri"/>
                <w:sz w:val="19"/>
                <w:szCs w:val="19"/>
              </w:rPr>
              <w:t xml:space="preserve">5 Business Hours</w:t>
            </w:r>
          </w:p>
        </w:tc>
        <w:tc>
          <w:tcPr>
            <w:tcW w:type="dxa" w:w="2914"/>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72"/>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2913"/>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3161"/>
            <w:tcMar>
              <w:top w:type="dxa" w:w="60"/>
              <w:left w:type="dxa" w:w="108"/>
              <w:bottom w:type="dxa" w:w="60"/>
              <w:right w:type="dxa" w:w="108"/>
            </w:tcMar>
          </w:tcPr>
          <w:p>
            <w:pPr>
              <w:spacing w:after="0" w:before="0" w:line="240"/>
            </w:pPr>
            <w:r>
              <w:rPr>
                <w:rFonts w:ascii="Calibri" w:cs="Calibri" w:eastAsia="Calibri" w:hAnsi="Calibri"/>
                <w:sz w:val="19"/>
                <w:szCs w:val="19"/>
              </w:rPr>
              <w:t xml:space="preserve">2.5 Business Hours</w:t>
            </w:r>
          </w:p>
        </w:tc>
        <w:tc>
          <w:tcPr>
            <w:tcW w:type="dxa" w:w="2914"/>
            <w:tcMar>
              <w:top w:type="dxa" w:w="60"/>
              <w:left w:type="dxa" w:w="108"/>
              <w:bottom w:type="dxa" w:w="60"/>
              <w:right w:type="dxa" w:w="108"/>
            </w:tcMar>
          </w:tcPr>
          <w:p>
            <w:pPr>
              <w:spacing w:after="0" w:before="0" w:line="240"/>
            </w:pPr>
            <w:r>
              <w:rPr>
                <w:rFonts w:ascii="Calibri" w:cs="Calibri" w:eastAsia="Calibri" w:hAnsi="Calibri"/>
                <w:sz w:val="19"/>
                <w:szCs w:val="19"/>
              </w:rPr>
              <w:t xml:space="preserve">1.5 Business Hours</w:t>
            </w:r>
          </w:p>
        </w:tc>
      </w:tr>
    </w:tbl>
    <w:p>
      <w:pPr>
        <w:spacing w:after="160"/>
      </w:pPr>
      <w:r>
        <w:t xml:space="preserve"/>
      </w:r>
    </w:p>
    <w:p>
      <w:pPr>
        <w:spacing w:after="160" w:before="0" w:line="276"/>
        <w:jc w:val="both"/>
      </w:pPr>
      <w:r>
        <w:rPr>
          <w:rFonts w:ascii="Calibri" w:cs="Calibri" w:eastAsia="Calibri" w:hAnsi="Calibri"/>
          <w:sz w:val="22"/>
          <w:szCs w:val="22"/>
        </w:rPr>
        <w:t xml:space="preserve">The Tier 1 and Tier 2 turnarounds are deliberately defined so that they differ. Tier 1 is satisfied if the offer is issued by close of the Business Day following the Business Day of receipt, which permits up to approximately sixteen (16) Business Hours elapsed. Tier 2 is a fixed eight (8) Business Hours from receipt. Without this paragraph the two Tiers would sell the same turnaround, because a Business Day and eight Business Hours are otherwise the same period.</w:t>
      </w:r>
    </w:p>
    <w:p>
      <w:pPr>
        <w:spacing w:after="160" w:before="0" w:line="276"/>
        <w:jc w:val="both"/>
      </w:pPr>
      <w:r>
        <w:rPr>
          <w:rFonts w:ascii="Calibri" w:cs="Calibri" w:eastAsia="Calibri" w:hAnsi="Calibri"/>
          <w:sz w:val="22"/>
          <w:szCs w:val="22"/>
        </w:rPr>
        <w:t xml:space="preserve">Clause 8.2 governs attribution between the legs.</w:t>
      </w:r>
    </w:p>
    <w:p>
      <w:pPr>
        <w:pStyle w:val="Heading2"/>
        <w:keepNext/>
        <w:spacing w:after="140" w:before="300"/>
      </w:pPr>
      <w:r>
        <w:rPr>
          <w:rFonts w:ascii="Calibri" w:cs="Calibri" w:eastAsia="Calibri" w:hAnsi="Calibri"/>
          <w:b/>
          <w:bCs/>
          <w:sz w:val="24"/>
          <w:szCs w:val="24"/>
        </w:rPr>
        <w:t xml:space="preserve">3. Selling Authorizations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47"/>
        <w:gridCol w:w="4522"/>
        <w:gridCol w:w="3891"/>
      </w:tblGrid>
      <w:tr>
        <w:trPr>
          <w:tblHeader/>
        </w:trPr>
        <w:tc>
          <w:tcPr>
            <w:tcW w:type="dxa" w:w="94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452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leg: request to submission to Automatum</w:t>
            </w:r>
          </w:p>
        </w:tc>
        <w:tc>
          <w:tcPr>
            <w:tcW w:type="dxa" w:w="389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leg: submission to issuance</w:t>
            </w:r>
          </w:p>
        </w:tc>
      </w:tr>
      <w:tr>
        <w:trPr>
          <w:tblHeader w:val="false"/>
        </w:trPr>
        <w:tc>
          <w:tcPr>
            <w:tcW w:type="dxa" w:w="947"/>
            <w:tcMar>
              <w:top w:type="dxa" w:w="60"/>
              <w:left w:type="dxa" w:w="108"/>
              <w:bottom w:type="dxa" w:w="60"/>
              <w:right w:type="dxa" w:w="108"/>
            </w:tcMar>
          </w:tcPr>
          <w:p>
            <w:pPr>
              <w:spacing w:after="0" w:before="0" w:line="240"/>
            </w:pPr>
            <w:r>
              <w:rPr>
                <w:rFonts w:ascii="Calibri" w:cs="Calibri" w:eastAsia="Calibri" w:hAnsi="Calibri"/>
                <w:sz w:val="19"/>
                <w:szCs w:val="19"/>
              </w:rPr>
              <w:t xml:space="preserve">All Tiers</w:t>
            </w:r>
          </w:p>
        </w:tc>
        <w:tc>
          <w:tcPr>
            <w:tcW w:type="dxa" w:w="4522"/>
            <w:tcMar>
              <w:top w:type="dxa" w:w="60"/>
              <w:left w:type="dxa" w:w="108"/>
              <w:bottom w:type="dxa" w:w="60"/>
              <w:right w:type="dxa" w:w="108"/>
            </w:tcMar>
          </w:tcPr>
          <w:p>
            <w:pPr>
              <w:spacing w:after="0" w:before="0" w:line="240"/>
            </w:pPr>
            <w:r>
              <w:rPr>
                <w:rFonts w:ascii="Calibri" w:cs="Calibri" w:eastAsia="Calibri" w:hAnsi="Calibri"/>
                <w:sz w:val="19"/>
                <w:szCs w:val="19"/>
              </w:rPr>
              <w:t xml:space="preserve">2 Business Days</w:t>
            </w:r>
          </w:p>
        </w:tc>
        <w:tc>
          <w:tcPr>
            <w:tcW w:type="dxa" w:w="3891"/>
            <w:tcMar>
              <w:top w:type="dxa" w:w="60"/>
              <w:left w:type="dxa" w:w="108"/>
              <w:bottom w:type="dxa" w:w="60"/>
              <w:right w:type="dxa" w:w="108"/>
            </w:tcMar>
          </w:tcPr>
          <w:p>
            <w:pPr>
              <w:spacing w:after="0" w:before="0" w:line="240"/>
            </w:pPr>
            <w:r>
              <w:rPr>
                <w:rFonts w:ascii="Calibri" w:cs="Calibri" w:eastAsia="Calibri" w:hAnsi="Calibri"/>
                <w:sz w:val="19"/>
                <w:szCs w:val="19"/>
              </w:rPr>
              <w:t xml:space="preserve">2 Business Days</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4. Cadence commitments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86"/>
        <w:gridCol w:w="2391"/>
        <w:gridCol w:w="2391"/>
        <w:gridCol w:w="2392"/>
      </w:tblGrid>
      <w:tr>
        <w:trPr>
          <w:tblHeader/>
        </w:trPr>
        <w:tc>
          <w:tcPr>
            <w:tcW w:type="dxa" w:w="218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Commitment</w:t>
            </w:r>
          </w:p>
        </w:tc>
        <w:tc>
          <w:tcPr>
            <w:tcW w:type="dxa" w:w="239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1</w:t>
            </w:r>
          </w:p>
        </w:tc>
        <w:tc>
          <w:tcPr>
            <w:tcW w:type="dxa" w:w="239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2</w:t>
            </w:r>
          </w:p>
        </w:tc>
        <w:tc>
          <w:tcPr>
            <w:tcW w:type="dxa" w:w="239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3</w:t>
            </w:r>
          </w:p>
        </w:tc>
      </w:tr>
      <w:tr>
        <w:trPr>
          <w:tblHeader w:val="false"/>
        </w:trPr>
        <w:tc>
          <w:tcPr>
            <w:tcW w:type="dxa" w:w="2186"/>
            <w:tcMar>
              <w:top w:type="dxa" w:w="60"/>
              <w:left w:type="dxa" w:w="108"/>
              <w:bottom w:type="dxa" w:w="60"/>
              <w:right w:type="dxa" w:w="108"/>
            </w:tcMar>
          </w:tcPr>
          <w:p>
            <w:pPr>
              <w:spacing w:after="0" w:before="0" w:line="240"/>
            </w:pPr>
            <w:r>
              <w:rPr>
                <w:rFonts w:ascii="Calibri" w:cs="Calibri" w:eastAsia="Calibri" w:hAnsi="Calibri"/>
                <w:sz w:val="19"/>
                <w:szCs w:val="19"/>
              </w:rPr>
              <w:t xml:space="preserve">Training and enablement sessions</w:t>
            </w:r>
          </w:p>
        </w:tc>
        <w:tc>
          <w:tcPr>
            <w:tcW w:type="dxa" w:w="2391"/>
            <w:tcMar>
              <w:top w:type="dxa" w:w="60"/>
              <w:left w:type="dxa" w:w="108"/>
              <w:bottom w:type="dxa" w:w="60"/>
              <w:right w:type="dxa" w:w="108"/>
            </w:tcMar>
          </w:tcPr>
          <w:p>
            <w:pPr>
              <w:spacing w:after="0" w:before="0" w:line="240"/>
            </w:pPr>
            <w:r>
              <w:rPr>
                <w:rFonts w:ascii="Calibri" w:cs="Calibri" w:eastAsia="Calibri" w:hAnsi="Calibri"/>
                <w:sz w:val="19"/>
                <w:szCs w:val="19"/>
              </w:rPr>
              <w:t xml:space="preserve">twice per Engagement Year</w:t>
            </w:r>
          </w:p>
        </w:tc>
        <w:tc>
          <w:tcPr>
            <w:tcW w:type="dxa" w:w="2391"/>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2392"/>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r>
      <w:tr>
        <w:trPr>
          <w:tblHeader w:val="false"/>
        </w:trPr>
        <w:tc>
          <w:tcPr>
            <w:tcW w:type="dxa" w:w="2186"/>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Reviews</w:t>
            </w:r>
          </w:p>
        </w:tc>
        <w:tc>
          <w:tcPr>
            <w:tcW w:type="dxa" w:w="2391"/>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2391"/>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c>
          <w:tcPr>
            <w:tcW w:type="dxa" w:w="2392"/>
            <w:tcMar>
              <w:top w:type="dxa" w:w="60"/>
              <w:left w:type="dxa" w:w="108"/>
              <w:bottom w:type="dxa" w:w="60"/>
              <w:right w:type="dxa" w:w="108"/>
            </w:tcMar>
          </w:tcPr>
          <w:p>
            <w:pPr>
              <w:spacing w:after="0" w:before="0" w:line="240"/>
            </w:pPr>
            <w:r>
              <w:rPr>
                <w:rFonts w:ascii="Calibri" w:cs="Calibri" w:eastAsia="Calibri" w:hAnsi="Calibri"/>
                <w:sz w:val="19"/>
                <w:szCs w:val="19"/>
              </w:rPr>
              <w:t xml:space="preserve">fortnightly</w:t>
            </w:r>
          </w:p>
        </w:tc>
      </w:tr>
      <w:tr>
        <w:trPr>
          <w:tblHeader w:val="false"/>
        </w:trPr>
        <w:tc>
          <w:tcPr>
            <w:tcW w:type="dxa" w:w="2186"/>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 reporting pack</w:t>
            </w:r>
          </w:p>
        </w:tc>
        <w:tc>
          <w:tcPr>
            <w:tcW w:type="dxa" w:w="2391"/>
            <w:tcMar>
              <w:top w:type="dxa" w:w="60"/>
              <w:left w:type="dxa" w:w="108"/>
              <w:bottom w:type="dxa" w:w="60"/>
              <w:right w:type="dxa" w:w="108"/>
            </w:tcMar>
          </w:tcPr>
          <w:p>
            <w:pPr>
              <w:spacing w:after="0" w:before="0" w:line="240"/>
            </w:pPr>
            <w:r>
              <w:rPr>
                <w:rFonts w:ascii="Calibri" w:cs="Calibri" w:eastAsia="Calibri" w:hAnsi="Calibri"/>
                <w:sz w:val="19"/>
                <w:szCs w:val="19"/>
              </w:rPr>
              <w:t xml:space="preserve">within 5 Business Days of month end</w:t>
            </w:r>
          </w:p>
        </w:tc>
        <w:tc>
          <w:tcPr>
            <w:tcW w:type="dxa" w:w="2391"/>
            <w:tcMar>
              <w:top w:type="dxa" w:w="60"/>
              <w:left w:type="dxa" w:w="108"/>
              <w:bottom w:type="dxa" w:w="60"/>
              <w:right w:type="dxa" w:w="108"/>
            </w:tcMar>
          </w:tcPr>
          <w:p>
            <w:pPr>
              <w:spacing w:after="0" w:before="0" w:line="240"/>
            </w:pPr>
            <w:r>
              <w:rPr>
                <w:rFonts w:ascii="Calibri" w:cs="Calibri" w:eastAsia="Calibri" w:hAnsi="Calibri"/>
                <w:sz w:val="19"/>
                <w:szCs w:val="19"/>
              </w:rPr>
              <w:t xml:space="preserve">within 5 Business Days of month end</w:t>
            </w:r>
          </w:p>
        </w:tc>
        <w:tc>
          <w:tcPr>
            <w:tcW w:type="dxa" w:w="2392"/>
            <w:tcMar>
              <w:top w:type="dxa" w:w="60"/>
              <w:left w:type="dxa" w:w="108"/>
              <w:bottom w:type="dxa" w:w="60"/>
              <w:right w:type="dxa" w:w="108"/>
            </w:tcMar>
          </w:tcPr>
          <w:p>
            <w:pPr>
              <w:spacing w:after="0" w:before="0" w:line="240"/>
            </w:pPr>
            <w:r>
              <w:rPr>
                <w:rFonts w:ascii="Calibri" w:cs="Calibri" w:eastAsia="Calibri" w:hAnsi="Calibri"/>
                <w:sz w:val="19"/>
                <w:szCs w:val="19"/>
              </w:rPr>
              <w:t xml:space="preserve">within 5 Business Days of month end</w:t>
            </w:r>
          </w:p>
        </w:tc>
      </w:tr>
    </w:tbl>
    <w:p>
      <w:pPr>
        <w:spacing w:after="160"/>
      </w:pPr>
      <w:r>
        <w:t xml:space="preserve"/>
      </w:r>
    </w:p>
    <w:p>
      <w:pPr>
        <w:spacing w:after="160" w:before="0" w:line="276"/>
        <w:jc w:val="both"/>
      </w:pPr>
      <w:r>
        <w:rPr>
          <w:rFonts w:ascii="Calibri" w:cs="Calibri" w:eastAsia="Calibri" w:hAnsi="Calibri"/>
          <w:sz w:val="22"/>
          <w:szCs w:val="22"/>
        </w:rPr>
        <w:t xml:space="preserve">A cadence commitment is met if the session or review is offered on at least two proposed dates within the applicable period and is held, or is not held because of the Registered Client's unavailability.</w:t>
      </w:r>
    </w:p>
    <w:p>
      <w:pPr>
        <w:pStyle w:val="Heading2"/>
        <w:keepNext/>
        <w:spacing w:after="140" w:before="300"/>
      </w:pPr>
      <w:r>
        <w:rPr>
          <w:rFonts w:ascii="Calibri" w:cs="Calibri" w:eastAsia="Calibri" w:hAnsi="Calibri"/>
          <w:b/>
          <w:bCs/>
          <w:sz w:val="24"/>
          <w:szCs w:val="24"/>
        </w:rPr>
        <w:t xml:space="preserve">5. Metric dictionary</w:t>
      </w:r>
    </w:p>
    <w:p>
      <w:pPr>
        <w:spacing w:after="160" w:before="0" w:line="276"/>
        <w:jc w:val="both"/>
      </w:pPr>
      <w:r>
        <w:rPr>
          <w:rFonts w:ascii="Calibri" w:cs="Calibri" w:eastAsia="Calibri" w:hAnsi="Calibri"/>
          <w:b/>
          <w:bCs/>
          <w:sz w:val="22"/>
          <w:szCs w:val="22"/>
        </w:rPr>
        <w:t xml:space="preserve">5.1 Primary metric - Offer-Issuing Partners.</w:t>
      </w:r>
      <w:r>
        <w:rPr>
          <w:rFonts w:ascii="Calibri" w:cs="Calibri" w:eastAsia="Calibri" w:hAnsi="Calibri"/>
          <w:sz w:val="22"/>
          <w:szCs w:val="22"/>
        </w:rPr>
        <w:t xml:space="preserve"> This is the metric the feasibility study calls "partners issuing offers". It is the number of distinct Recruited Partners that created at least one private offer or CPPO against the Registered Client's product during the reporting month, read from the PSR offer record and reconciled against AWS Marketplace seller reporting. This metric applies if and only if the Marketplace authorization dependency in clause 14.2 is confirmed as available by the longstop date in Schedule 8.</w:t>
      </w:r>
    </w:p>
    <w:p>
      <w:pPr>
        <w:spacing w:after="160" w:before="0" w:line="276"/>
        <w:jc w:val="both"/>
      </w:pPr>
      <w:r>
        <w:rPr>
          <w:rFonts w:ascii="Calibri" w:cs="Calibri" w:eastAsia="Calibri" w:hAnsi="Calibri"/>
          <w:b/>
          <w:bCs/>
          <w:sz w:val="22"/>
          <w:szCs w:val="22"/>
        </w:rPr>
        <w:t xml:space="preserve">5.2 Fallback metric - Partner-Attributed Transactions.</w:t>
      </w:r>
      <w:r>
        <w:rPr>
          <w:rFonts w:ascii="Calibri" w:cs="Calibri" w:eastAsia="Calibri" w:hAnsi="Calibri"/>
          <w:sz w:val="22"/>
          <w:szCs w:val="22"/>
        </w:rPr>
        <w:t xml:space="preserve"> The number of Transactions issued by Automatum against a Selling Authorization or private offer attributed to a named Recruited Partner through AWS Partner Revenue Measurement and a matching opportunity identifier, during the reporting month, read from the PSR and reconciled against AWS Marketplace seller reporting. This metric applies automatically under clause 14.2(c) if the dependency is not confirmed by the longstop date.</w:t>
      </w:r>
    </w:p>
    <w:p>
      <w:pPr>
        <w:spacing w:after="160" w:before="0" w:line="276"/>
        <w:jc w:val="both"/>
      </w:pPr>
      <w:r>
        <w:rPr>
          <w:rFonts w:ascii="Calibri" w:cs="Calibri" w:eastAsia="Calibri" w:hAnsi="Calibri"/>
          <w:b/>
          <w:bCs/>
          <w:sz w:val="22"/>
          <w:szCs w:val="22"/>
        </w:rPr>
        <w:t xml:space="preserve">5.3 Both metrics are defined now.</w:t>
      </w:r>
      <w:r>
        <w:rPr>
          <w:rFonts w:ascii="Calibri" w:cs="Calibri" w:eastAsia="Calibri" w:hAnsi="Calibri"/>
          <w:sz w:val="22"/>
          <w:szCs w:val="22"/>
        </w:rPr>
        <w:t xml:space="preserve"> The Parties have defined the fallback metric at the time of contracting rather than agreeing to agree it later, because if it were left open it would fall to be negotiated at the moment the dependency resolved unfavourably and the Tier table had already been published.</w:t>
      </w:r>
    </w:p>
    <w:p>
      <w:pPr>
        <w:spacing w:after="160" w:before="0" w:line="276"/>
        <w:jc w:val="both"/>
      </w:pPr>
      <w:r>
        <w:rPr>
          <w:rFonts w:ascii="Calibri" w:cs="Calibri" w:eastAsia="Calibri" w:hAnsi="Calibri"/>
          <w:b/>
          <w:bCs/>
          <w:sz w:val="22"/>
          <w:szCs w:val="22"/>
        </w:rPr>
        <w:t xml:space="preserve">5.4 Supporting measures.</w:t>
      </w:r>
      <w:r>
        <w:rPr>
          <w:rFonts w:ascii="Calibri" w:cs="Calibri" w:eastAsia="Calibri" w:hAnsi="Calibri"/>
          <w:sz w:val="22"/>
          <w:szCs w:val="22"/>
        </w:rPr>
        <w:t xml:space="preserve"> The monthly reporting pack also reports: Recruited Partners onboarded in the month and cumulatively; partners pending AWS prerequisites; Active Partners measured under Schedule 1 paragraph 7; deal registrations received, approved and declined; Deal Desk Requests and turnaround performance by leg; Selling Authorizations requested and issued; and channel revenue attributed.</w:t>
      </w:r>
    </w:p>
    <w:p>
      <w:pPr>
        <w:pStyle w:val="Heading2"/>
        <w:keepNext/>
        <w:spacing w:after="140" w:before="300"/>
      </w:pPr>
      <w:r>
        <w:rPr>
          <w:rFonts w:ascii="Calibri" w:cs="Calibri" w:eastAsia="Calibri" w:hAnsi="Calibri"/>
          <w:b/>
          <w:bCs/>
          <w:sz w:val="24"/>
          <w:szCs w:val="24"/>
        </w:rPr>
        <w:t xml:space="preserve">6. Support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66"/>
        <w:gridCol w:w="1248"/>
        <w:gridCol w:w="2246"/>
      </w:tblGrid>
      <w:tr>
        <w:trPr>
          <w:tblHeader/>
        </w:trPr>
        <w:tc>
          <w:tcPr>
            <w:tcW w:type="dxa" w:w="586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Matter</w:t>
            </w:r>
          </w:p>
        </w:tc>
        <w:tc>
          <w:tcPr>
            <w:tcW w:type="dxa" w:w="124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First line</w:t>
            </w:r>
          </w:p>
        </w:tc>
        <w:tc>
          <w:tcPr>
            <w:tcW w:type="dxa" w:w="224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Second line</w:t>
            </w:r>
          </w:p>
        </w:tc>
      </w:tr>
      <w:tr>
        <w:trPr>
          <w:tblHeader w:val="false"/>
        </w:trPr>
        <w:tc>
          <w:tcPr>
            <w:tcW w:type="dxa" w:w="5866"/>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partner queries, enablement</w:t>
            </w:r>
          </w:p>
        </w:tc>
        <w:tc>
          <w:tcPr>
            <w:tcW w:type="dxa" w:w="1248"/>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246"/>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86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and deal registration</w:t>
            </w:r>
          </w:p>
        </w:tc>
        <w:tc>
          <w:tcPr>
            <w:tcW w:type="dxa" w:w="1248"/>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246"/>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866"/>
            <w:tcMar>
              <w:top w:type="dxa" w:w="60"/>
              <w:left w:type="dxa" w:w="108"/>
              <w:bottom w:type="dxa" w:w="60"/>
              <w:right w:type="dxa" w:w="108"/>
            </w:tcMar>
          </w:tcPr>
          <w:p>
            <w:pPr>
              <w:spacing w:after="0" w:before="0" w:line="240"/>
            </w:pPr>
            <w:r>
              <w:rPr>
                <w:rFonts w:ascii="Calibri" w:cs="Calibri" w:eastAsia="Calibri" w:hAnsi="Calibri"/>
                <w:sz w:val="19"/>
                <w:szCs w:val="19"/>
              </w:rPr>
              <w:t xml:space="preserve">Partner System of Record</w:t>
            </w:r>
          </w:p>
        </w:tc>
        <w:tc>
          <w:tcPr>
            <w:tcW w:type="dxa" w:w="1248"/>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246"/>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via OBP</w:t>
            </w:r>
          </w:p>
        </w:tc>
      </w:tr>
      <w:tr>
        <w:trPr>
          <w:tblHeader w:val="false"/>
        </w:trPr>
        <w:tc>
          <w:tcPr>
            <w:tcW w:type="dxa" w:w="5866"/>
            <w:tcMar>
              <w:top w:type="dxa" w:w="60"/>
              <w:left w:type="dxa" w:w="108"/>
              <w:bottom w:type="dxa" w:w="60"/>
              <w:right w:type="dxa" w:w="108"/>
            </w:tcMar>
          </w:tcPr>
          <w:p>
            <w:pPr>
              <w:spacing w:after="0" w:before="0" w:line="240"/>
            </w:pPr>
            <w:r>
              <w:rPr>
                <w:rFonts w:ascii="Calibri" w:cs="Calibri" w:eastAsia="Calibri" w:hAnsi="Calibri"/>
                <w:sz w:val="19"/>
                <w:szCs w:val="19"/>
              </w:rPr>
              <w:t xml:space="preserve">Listing, offer issuance, Selling Authorizations</w:t>
            </w:r>
          </w:p>
        </w:tc>
        <w:tc>
          <w:tcPr>
            <w:tcW w:type="dxa" w:w="1248"/>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246"/>
            <w:tcMar>
              <w:top w:type="dxa" w:w="60"/>
              <w:left w:type="dxa" w:w="108"/>
              <w:bottom w:type="dxa" w:w="60"/>
              <w:right w:type="dxa" w:w="108"/>
            </w:tcMar>
          </w:tcPr>
          <w:p>
            <w:pPr>
              <w:spacing w:after="0" w:before="0" w:line="240"/>
            </w:pPr>
            <w:r>
              <w:rPr>
                <w:rFonts w:ascii="Calibri" w:cs="Calibri" w:eastAsia="Calibri" w:hAnsi="Calibri"/>
                <w:sz w:val="19"/>
                <w:szCs w:val="19"/>
              </w:rPr>
              <w:t xml:space="preserve">AWS via Automatum</w:t>
            </w:r>
          </w:p>
        </w:tc>
      </w:tr>
    </w:tbl>
    <w:p>
      <w:pPr>
        <w:spacing w:after="160"/>
      </w:pPr>
      <w:r>
        <w:t xml:space="preserve"/>
      </w:r>
    </w:p>
    <w:p>
      <w:pPr>
        <w:spacing w:after="160" w:before="0" w:line="276"/>
        <w:jc w:val="both"/>
      </w:pPr>
      <w:r>
        <w:rPr>
          <w:rFonts w:ascii="Calibri" w:cs="Calibri" w:eastAsia="Calibri" w:hAnsi="Calibri"/>
          <w:sz w:val="22"/>
          <w:szCs w:val="22"/>
        </w:rPr>
        <w:t xml:space="preserve">All contact arrives through the single Automatum-branded intake under Schedule 3 paragraph 2.1. OBP triages within two (2) Business Hours and routes to the correct first line. A misrouted matter is handed over within two (2) Business Hours of identification, and the service level clock for the receiving Party starts on handover.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3"/>
        <w:gridCol w:w="5373"/>
        <w:gridCol w:w="1387"/>
        <w:gridCol w:w="1907"/>
      </w:tblGrid>
      <w:tr>
        <w:trPr>
          <w:tblHeader/>
        </w:trPr>
        <w:tc>
          <w:tcPr>
            <w:tcW w:type="dxa" w:w="69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Priority</w:t>
            </w:r>
          </w:p>
        </w:tc>
        <w:tc>
          <w:tcPr>
            <w:tcW w:type="dxa" w:w="537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Definition</w:t>
            </w:r>
          </w:p>
        </w:tc>
        <w:tc>
          <w:tcPr>
            <w:tcW w:type="dxa" w:w="13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Response</w:t>
            </w:r>
          </w:p>
        </w:tc>
        <w:tc>
          <w:tcPr>
            <w:tcW w:type="dxa" w:w="190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Update cadence</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P1</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Registered Client cannot transact, or the PSR is unavailable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Hour</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4 Business Hours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P2</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is blocked on a live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daily</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P3</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or Client query not blocking a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Day</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3 Business Days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P4</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Request for information or change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Days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weekly</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7. Credits</w:t>
      </w:r>
    </w:p>
    <w:p>
      <w:pPr>
        <w:spacing w:after="160" w:before="0" w:line="276"/>
        <w:jc w:val="both"/>
      </w:pPr>
      <w:r>
        <w:rPr>
          <w:rFonts w:ascii="Calibri" w:cs="Calibri" w:eastAsia="Calibri" w:hAnsi="Calibri"/>
          <w:sz w:val="22"/>
          <w:szCs w:val="22"/>
        </w:rPr>
        <w:t xml:space="preserve">Clause 8.4 governs flow-down, clause 8.5 the caps, and clause 8.7 Chronic Failure. A Service Credit is measured against the Registered Client's gross monthly Client Fees, because that is the basis on which the Client Agreement computes it. There is no earn-back.</w:t>
      </w:r>
    </w:p>
    <w:p>
      <w:pPr>
        <w:pStyle w:val="Heading1"/>
        <w:pageBreakBefore/>
        <w:spacing w:after="200" w:before="240"/>
        <w:jc w:val="left"/>
      </w:pPr>
      <w:r>
        <w:rPr>
          <w:rFonts w:ascii="Calibri" w:cs="Calibri" w:eastAsia="Calibri" w:hAnsi="Calibri"/>
          <w:b/>
          <w:bCs/>
          <w:sz w:val="28"/>
          <w:szCs w:val="28"/>
        </w:rPr>
        <w:t xml:space="preserve">Schedule 5 - Partner System of Record</w:t>
      </w:r>
    </w:p>
    <w:p>
      <w:pPr>
        <w:pStyle w:val="Heading2"/>
        <w:keepNext/>
        <w:spacing w:after="140" w:before="300"/>
      </w:pPr>
      <w:r>
        <w:rPr>
          <w:rFonts w:ascii="Calibri" w:cs="Calibri" w:eastAsia="Calibri" w:hAnsi="Calibri"/>
          <w:b/>
          <w:bCs/>
          <w:sz w:val="24"/>
          <w:szCs w:val="24"/>
        </w:rPr>
        <w:t xml:space="preserve">Part A - Vendor and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17"/>
        <w:gridCol w:w="6343"/>
      </w:tblGrid>
      <w:tr>
        <w:trPr>
          <w:tblHeader/>
        </w:trPr>
        <w:tc>
          <w:tcPr>
            <w:tcW w:type="dxa" w:w="301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34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3017"/>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legal name</w:t>
            </w:r>
          </w:p>
        </w:tc>
        <w:tc>
          <w:tcPr>
            <w:tcW w:type="dxa" w:w="634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PSR vendor legal name]</w:t>
            </w:r>
          </w:p>
        </w:tc>
      </w:tr>
      <w:tr>
        <w:trPr>
          <w:tblHeader w:val="false"/>
        </w:trPr>
        <w:tc>
          <w:tcPr>
            <w:tcW w:type="dxa" w:w="3017"/>
            <w:tcMar>
              <w:top w:type="dxa" w:w="60"/>
              <w:left w:type="dxa" w:w="108"/>
              <w:bottom w:type="dxa" w:w="60"/>
              <w:right w:type="dxa" w:w="108"/>
            </w:tcMar>
          </w:tcPr>
          <w:p>
            <w:pPr>
              <w:spacing w:after="0" w:before="0" w:line="240"/>
            </w:pPr>
            <w:r>
              <w:rPr>
                <w:rFonts w:ascii="Calibri" w:cs="Calibri" w:eastAsia="Calibri" w:hAnsi="Calibri"/>
                <w:sz w:val="19"/>
                <w:szCs w:val="19"/>
              </w:rPr>
              <w:t xml:space="preserve">Product name and edition</w:t>
            </w:r>
          </w:p>
        </w:tc>
        <w:tc>
          <w:tcPr>
            <w:tcW w:type="dxa" w:w="634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product name and edition]</w:t>
            </w:r>
          </w:p>
        </w:tc>
      </w:tr>
      <w:tr>
        <w:trPr>
          <w:tblHeader w:val="false"/>
        </w:trPr>
        <w:tc>
          <w:tcPr>
            <w:tcW w:type="dxa" w:w="3017"/>
            <w:tcMar>
              <w:top w:type="dxa" w:w="60"/>
              <w:left w:type="dxa" w:w="108"/>
              <w:bottom w:type="dxa" w:w="60"/>
              <w:right w:type="dxa" w:w="108"/>
            </w:tcMar>
          </w:tcPr>
          <w:p>
            <w:pPr>
              <w:spacing w:after="0" w:before="0" w:line="240"/>
            </w:pPr>
            <w:r>
              <w:rPr>
                <w:rFonts w:ascii="Calibri" w:cs="Calibri" w:eastAsia="Calibri" w:hAnsi="Calibri"/>
                <w:sz w:val="19"/>
                <w:szCs w:val="19"/>
              </w:rPr>
              <w:t xml:space="preserve">OBP's licence term and expiry</w:t>
            </w:r>
          </w:p>
        </w:tc>
        <w:tc>
          <w:tcPr>
            <w:tcW w:type="dxa" w:w="634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licence term and expiry date]</w:t>
            </w:r>
          </w:p>
        </w:tc>
      </w:tr>
      <w:tr>
        <w:trPr>
          <w:tblHeader w:val="false"/>
        </w:trPr>
        <w:tc>
          <w:tcPr>
            <w:tcW w:type="dxa" w:w="3017"/>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records?</w:t>
            </w:r>
          </w:p>
        </w:tc>
        <w:tc>
          <w:tcPr>
            <w:tcW w:type="dxa" w:w="6343"/>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the record threshold above which cost passes through under Schedule 1 paragraph 4]</w:t>
            </w:r>
          </w:p>
        </w:tc>
      </w:tr>
      <w:tr>
        <w:trPr>
          <w:tblHeader w:val="false"/>
        </w:trPr>
        <w:tc>
          <w:tcPr>
            <w:tcW w:type="dxa" w:w="3017"/>
            <w:tcMar>
              <w:top w:type="dxa" w:w="60"/>
              <w:left w:type="dxa" w:w="108"/>
              <w:bottom w:type="dxa" w:w="60"/>
              <w:right w:type="dxa" w:w="108"/>
            </w:tcMar>
          </w:tcPr>
          <w:p>
            <w:pPr>
              <w:spacing w:after="0" w:before="0" w:line="240"/>
            </w:pPr>
            <w:r>
              <w:rPr>
                <w:rFonts w:ascii="Calibri" w:cs="Calibri" w:eastAsia="Calibri" w:hAnsi="Calibri"/>
                <w:sz w:val="19"/>
                <w:szCs w:val="19"/>
              </w:rPr>
              <w:t xml:space="preserve">Seats included per Tier</w:t>
            </w:r>
          </w:p>
        </w:tc>
        <w:tc>
          <w:tcPr>
            <w:tcW w:type="dxa" w:w="6343"/>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seats for Tier 1 / Tier 2 / Tier 3]</w:t>
            </w:r>
          </w:p>
        </w:tc>
      </w:tr>
      <w:tr>
        <w:trPr>
          <w:tblHeader w:val="false"/>
        </w:trPr>
        <w:tc>
          <w:tcPr>
            <w:tcW w:type="dxa" w:w="3017"/>
            <w:tcMar>
              <w:top w:type="dxa" w:w="60"/>
              <w:left w:type="dxa" w:w="108"/>
              <w:bottom w:type="dxa" w:w="60"/>
              <w:right w:type="dxa" w:w="108"/>
            </w:tcMar>
          </w:tcPr>
          <w:p>
            <w:pPr>
              <w:spacing w:after="0" w:before="0" w:line="240"/>
            </w:pPr>
            <w:r>
              <w:rPr>
                <w:rFonts w:ascii="Calibri" w:cs="Calibri" w:eastAsia="Calibri" w:hAnsi="Calibri"/>
                <w:sz w:val="19"/>
                <w:szCs w:val="19"/>
              </w:rPr>
              <w:t xml:space="preserve">White label branding and custom domain supported?</w:t>
            </w:r>
          </w:p>
        </w:tc>
        <w:tc>
          <w:tcPr>
            <w:tcW w:type="dxa" w:w="6343"/>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no, and any element that cannot be unbranded under clause 10.3]</w:t>
            </w:r>
          </w:p>
        </w:tc>
      </w:tr>
      <w:tr>
        <w:trPr>
          <w:tblHeader w:val="false"/>
        </w:trPr>
        <w:tc>
          <w:tcPr>
            <w:tcW w:type="dxa" w:w="3017"/>
            <w:tcMar>
              <w:top w:type="dxa" w:w="60"/>
              <w:left w:type="dxa" w:w="108"/>
              <w:bottom w:type="dxa" w:w="60"/>
              <w:right w:type="dxa" w:w="108"/>
            </w:tcMar>
          </w:tcPr>
          <w:p>
            <w:pPr>
              <w:spacing w:after="0" w:before="0" w:line="240"/>
            </w:pPr>
            <w:r>
              <w:rPr>
                <w:rFonts w:ascii="Calibri" w:cs="Calibri" w:eastAsia="Calibri" w:hAnsi="Calibri"/>
                <w:sz w:val="19"/>
                <w:szCs w:val="19"/>
              </w:rPr>
              <w:t xml:space="preserve">Tenancy model</w:t>
            </w:r>
          </w:p>
        </w:tc>
        <w:tc>
          <w:tcPr>
            <w:tcW w:type="dxa" w:w="6343"/>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per-Client tenant or shared tenant with logical separation]</w:t>
            </w:r>
          </w:p>
        </w:tc>
      </w:tr>
      <w:tr>
        <w:trPr>
          <w:tblHeader w:val="false"/>
        </w:trPr>
        <w:tc>
          <w:tcPr>
            <w:tcW w:type="dxa" w:w="3017"/>
            <w:tcMar>
              <w:top w:type="dxa" w:w="60"/>
              <w:left w:type="dxa" w:w="108"/>
              <w:bottom w:type="dxa" w:w="60"/>
              <w:right w:type="dxa" w:w="108"/>
            </w:tcMar>
          </w:tcPr>
          <w:p>
            <w:pPr>
              <w:spacing w:after="0" w:before="0" w:line="240"/>
            </w:pPr>
            <w:r>
              <w:rPr>
                <w:rFonts w:ascii="Calibri" w:cs="Calibri" w:eastAsia="Calibri" w:hAnsi="Calibri"/>
                <w:sz w:val="19"/>
                <w:szCs w:val="19"/>
              </w:rPr>
              <w:t xml:space="preserve">Hosting regions</w:t>
            </w:r>
          </w:p>
        </w:tc>
        <w:tc>
          <w:tcPr>
            <w:tcW w:type="dxa" w:w="634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hosting regions]</w:t>
            </w:r>
          </w:p>
        </w:tc>
      </w:tr>
      <w:tr>
        <w:trPr>
          <w:tblHeader w:val="false"/>
        </w:trPr>
        <w:tc>
          <w:tcPr>
            <w:tcW w:type="dxa" w:w="3017"/>
            <w:tcMar>
              <w:top w:type="dxa" w:w="60"/>
              <w:left w:type="dxa" w:w="108"/>
              <w:bottom w:type="dxa" w:w="60"/>
              <w:right w:type="dxa" w:w="108"/>
            </w:tcMar>
          </w:tcPr>
          <w:p>
            <w:pPr>
              <w:spacing w:after="0" w:before="0" w:line="240"/>
            </w:pPr>
            <w:r>
              <w:rPr>
                <w:rFonts w:ascii="Calibri" w:cs="Calibri" w:eastAsia="Calibri" w:hAnsi="Calibri"/>
                <w:sz w:val="19"/>
                <w:szCs w:val="19"/>
              </w:rPr>
              <w:t xml:space="preserve">Security certifications</w:t>
            </w:r>
          </w:p>
        </w:tc>
        <w:tc>
          <w:tcPr>
            <w:tcW w:type="dxa" w:w="634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SOC 2 Type II / ISO 27001 status and report date]</w:t>
            </w:r>
          </w:p>
        </w:tc>
      </w:tr>
    </w:tbl>
    <w:p>
      <w:pPr>
        <w:spacing w:after="160"/>
      </w:pPr>
      <w:r>
        <w:t xml:space="preserve"/>
      </w:r>
    </w:p>
    <w:p>
      <w:pPr>
        <w:spacing w:after="160" w:before="0" w:line="276"/>
        <w:jc w:val="both"/>
      </w:pPr>
      <w:r>
        <w:rPr>
          <w:rFonts w:ascii="Calibri" w:cs="Calibri" w:eastAsia="Calibri" w:hAnsi="Calibri"/>
          <w:sz w:val="22"/>
          <w:szCs w:val="22"/>
        </w:rPr>
        <w:t xml:space="preserve">Clause 10.2 warrants that the licence term outlasts the longest Engagement Order plus the transition period. Licence cost is recovered within the OBP Service Revenue and is not separately chargeable, subject to Schedule 1 paragraph 4.</w:t>
      </w:r>
    </w:p>
    <w:p>
      <w:pPr>
        <w:pStyle w:val="Heading2"/>
        <w:keepNext/>
        <w:spacing w:after="140" w:before="300"/>
      </w:pPr>
      <w:r>
        <w:rPr>
          <w:rFonts w:ascii="Calibri" w:cs="Calibri" w:eastAsia="Calibri" w:hAnsi="Calibri"/>
          <w:b/>
          <w:bCs/>
          <w:sz w:val="24"/>
          <w:szCs w:val="24"/>
        </w:rPr>
        <w:t xml:space="preserve">Part B - Functional scope</w:t>
      </w:r>
    </w:p>
    <w:p>
      <w:pPr>
        <w:spacing w:after="160" w:before="0" w:line="276"/>
        <w:jc w:val="both"/>
      </w:pPr>
      <w:r>
        <w:rPr>
          <w:rFonts w:ascii="Calibri" w:cs="Calibri" w:eastAsia="Calibri" w:hAnsi="Calibri"/>
          <w:sz w:val="22"/>
          <w:szCs w:val="22"/>
        </w:rPr>
        <w:t xml:space="preserve">The PSR provides, for each Registered Client, under the Automatum Brand:</w:t>
      </w:r>
    </w:p>
    <w:p>
      <w:pPr>
        <w:pStyle w:val="ListParagraph"/>
        <w:numPr>
          <w:ilvl w:val="0"/>
          <w:numId w:val="1"/>
        </w:numPr>
        <w:spacing w:after="80" w:before="40" w:line="276"/>
      </w:pPr>
      <w:r>
        <w:rPr>
          <w:rFonts w:ascii="Calibri" w:cs="Calibri" w:eastAsia="Calibri" w:hAnsi="Calibri"/>
          <w:sz w:val="22"/>
          <w:szCs w:val="22"/>
        </w:rPr>
        <w:t xml:space="preserve">a partner portal for Recruited Partners;</w:t>
      </w:r>
    </w:p>
    <w:p>
      <w:pPr>
        <w:pStyle w:val="ListParagraph"/>
        <w:numPr>
          <w:ilvl w:val="0"/>
          <w:numId w:val="1"/>
        </w:numPr>
        <w:spacing w:after="80" w:before="40" w:line="276"/>
      </w:pPr>
      <w:r>
        <w:rPr>
          <w:rFonts w:ascii="Calibri" w:cs="Calibri" w:eastAsia="Calibri" w:hAnsi="Calibri"/>
          <w:sz w:val="22"/>
          <w:szCs w:val="22"/>
        </w:rPr>
        <w:t xml:space="preserve">partner onboarding workflow, including AWS registration, tax, banking and service-linked role status tracking;</w:t>
      </w:r>
    </w:p>
    <w:p>
      <w:pPr>
        <w:pStyle w:val="ListParagraph"/>
        <w:numPr>
          <w:ilvl w:val="0"/>
          <w:numId w:val="1"/>
        </w:numPr>
        <w:spacing w:after="80" w:before="40" w:line="276"/>
      </w:pPr>
      <w:r>
        <w:rPr>
          <w:rFonts w:ascii="Calibri" w:cs="Calibri" w:eastAsia="Calibri" w:hAnsi="Calibri"/>
          <w:sz w:val="22"/>
          <w:szCs w:val="22"/>
        </w:rPr>
        <w:t xml:space="preserve">deal registration, approval and decline workflow with audit history;</w:t>
      </w:r>
    </w:p>
    <w:p>
      <w:pPr>
        <w:pStyle w:val="ListParagraph"/>
        <w:numPr>
          <w:ilvl w:val="0"/>
          <w:numId w:val="1"/>
        </w:numPr>
        <w:spacing w:after="80" w:before="40" w:line="276"/>
      </w:pPr>
      <w:r>
        <w:rPr>
          <w:rFonts w:ascii="Calibri" w:cs="Calibri" w:eastAsia="Calibri" w:hAnsi="Calibri"/>
          <w:sz w:val="22"/>
          <w:szCs w:val="22"/>
        </w:rPr>
        <w:t xml:space="preserve">commission tracking and accrual against the margin schedule;</w:t>
      </w:r>
    </w:p>
    <w:p>
      <w:pPr>
        <w:pStyle w:val="ListParagraph"/>
        <w:numPr>
          <w:ilvl w:val="0"/>
          <w:numId w:val="1"/>
        </w:numPr>
        <w:spacing w:after="80" w:before="40" w:line="276"/>
      </w:pPr>
      <w:r>
        <w:rPr>
          <w:rFonts w:ascii="Calibri" w:cs="Calibri" w:eastAsia="Calibri" w:hAnsi="Calibri"/>
          <w:sz w:val="22"/>
          <w:szCs w:val="22"/>
        </w:rPr>
        <w:t xml:space="preserve">offer and Selling Authorization records, being the audit source for the metrics in Schedule 4 paragraph 5;</w:t>
      </w:r>
    </w:p>
    <w:p>
      <w:pPr>
        <w:pStyle w:val="ListParagraph"/>
        <w:numPr>
          <w:ilvl w:val="0"/>
          <w:numId w:val="1"/>
        </w:numPr>
        <w:spacing w:after="80" w:before="40" w:line="276"/>
      </w:pPr>
      <w:r>
        <w:rPr>
          <w:rFonts w:ascii="Calibri" w:cs="Calibri" w:eastAsia="Calibri" w:hAnsi="Calibri"/>
          <w:sz w:val="22"/>
          <w:szCs w:val="22"/>
        </w:rPr>
        <w:t xml:space="preserve">synchronization with HubSpot and Salesforce as specified in the Engagement Order, which states whose instances, which system is master, the direction of synchronization, and who holds the licences. Where a Registered Client's instance is in scope, the Client's cooperation is a dependency and clause 6.7 applies if it is not given;</w:t>
      </w:r>
    </w:p>
    <w:p>
      <w:pPr>
        <w:pStyle w:val="ListParagraph"/>
        <w:numPr>
          <w:ilvl w:val="0"/>
          <w:numId w:val="1"/>
        </w:numPr>
        <w:spacing w:after="80" w:before="40" w:line="276"/>
      </w:pPr>
      <w:r>
        <w:rPr>
          <w:rFonts w:ascii="Calibri" w:cs="Calibri" w:eastAsia="Calibri" w:hAnsi="Calibri"/>
          <w:sz w:val="22"/>
          <w:szCs w:val="22"/>
        </w:rPr>
        <w:t xml:space="preserve">reporting supporting the monthly reporting pack; and</w:t>
      </w:r>
    </w:p>
    <w:p>
      <w:pPr>
        <w:pStyle w:val="ListParagraph"/>
        <w:numPr>
          <w:ilvl w:val="0"/>
          <w:numId w:val="1"/>
        </w:numPr>
        <w:spacing w:after="80" w:before="40" w:line="276"/>
      </w:pPr>
      <w:r>
        <w:rPr>
          <w:rFonts w:ascii="Calibri" w:cs="Calibri" w:eastAsia="Calibri" w:hAnsi="Calibri"/>
          <w:sz w:val="22"/>
          <w:szCs w:val="22"/>
        </w:rPr>
        <w:t xml:space="preserve">the append-only event log required by clause 10.6.</w:t>
      </w:r>
    </w:p>
    <w:p>
      <w:pPr>
        <w:pStyle w:val="Heading2"/>
        <w:keepNext/>
        <w:spacing w:after="140" w:before="300"/>
      </w:pPr>
      <w:r>
        <w:rPr>
          <w:rFonts w:ascii="Calibri" w:cs="Calibri" w:eastAsia="Calibri" w:hAnsi="Calibri"/>
          <w:b/>
          <w:bCs/>
          <w:sz w:val="24"/>
          <w:szCs w:val="24"/>
        </w:rPr>
        <w:t xml:space="preserve">Part C - Data, processing and security</w:t>
      </w:r>
    </w:p>
    <w:p>
      <w:pPr>
        <w:spacing w:after="160" w:before="0" w:line="276"/>
        <w:jc w:val="both"/>
      </w:pPr>
      <w:r>
        <w:rPr>
          <w:rFonts w:ascii="Calibri" w:cs="Calibri" w:eastAsia="Calibri" w:hAnsi="Calibri"/>
          <w:b/>
          <w:bCs/>
          <w:sz w:val="22"/>
          <w:szCs w:val="22"/>
        </w:rPr>
        <w:t xml:space="preserve">1. Processing particulars.</w:t>
      </w:r>
      <w:r>
        <w:rPr>
          <w:rFonts w:ascii="Calibri" w:cs="Calibri" w:eastAsia="Calibri" w:hAnsi="Calibri"/>
          <w:sz w:val="22"/>
          <w:szCs w:val="22"/>
        </w:rPr>
        <w:t xml:space="preserve"> Subject matter: operation of a reseller channel for a Registered Client. Duration: the Engagement plus the transition period plus the retention period in clause 10.6. Nature and purpose: partner onboarding, deal registration, commission tracking, offer tracking and reporting. Types of Personal Data: business contact details, job titles and professional profile information of Recruited Partner and Registered Client personnel. Categories of data subject: personnel of Recruited Partners, of Registered Clients, and of the Parties. No special category data is processed.</w:t>
      </w:r>
    </w:p>
    <w:p>
      <w:pPr>
        <w:spacing w:after="160" w:before="0" w:line="276"/>
        <w:jc w:val="both"/>
      </w:pPr>
      <w:r>
        <w:rPr>
          <w:rFonts w:ascii="Calibri" w:cs="Calibri" w:eastAsia="Calibri" w:hAnsi="Calibri"/>
          <w:b/>
          <w:bCs/>
          <w:sz w:val="22"/>
          <w:szCs w:val="22"/>
        </w:rPr>
        <w:t xml:space="preserve">2. Export schema.</w:t>
      </w:r>
      <w:r>
        <w:rPr>
          <w:rFonts w:ascii="Calibri" w:cs="Calibri" w:eastAsia="Calibri" w:hAnsi="Calibri"/>
          <w:sz w:val="22"/>
          <w:szCs w:val="22"/>
        </w:rPr>
        <w:t xml:space="preserve"> OBP maintains a documented machine-readable export schema with a data dictionary, versioned, covering partner records, partner agreements and status, deal registrations, the commission ledger and accruals, opportunity records and ACE identifiers, offer and Selling Authorization records, attribution configuration and outputs, and the event log. Clause 10.5 governs frequency and restore testing.</w:t>
      </w:r>
    </w:p>
    <w:p>
      <w:pPr>
        <w:spacing w:after="160" w:before="0" w:line="276"/>
        <w:jc w:val="both"/>
      </w:pPr>
      <w:r>
        <w:rPr>
          <w:rFonts w:ascii="Calibri" w:cs="Calibri" w:eastAsia="Calibri" w:hAnsi="Calibri"/>
          <w:b/>
          <w:bCs/>
          <w:sz w:val="22"/>
          <w:szCs w:val="22"/>
        </w:rPr>
        <w:t xml:space="preserve">3. Security controls.</w:t>
      </w:r>
      <w:r>
        <w:rPr>
          <w:rFonts w:ascii="Calibri" w:cs="Calibri" w:eastAsia="Calibri" w:hAnsi="Calibri"/>
          <w:sz w:val="22"/>
          <w:szCs w:val="22"/>
        </w:rPr>
        <w:t xml:space="preserve"> Role-based access control with least privilege and quarterly access review; multi-factor authentication for administrative access; encryption in transit using current TLS and at rest; centralized logging and alerting; documented vulnerability management with remediation timescales by severity; annual penetration test with a summary available to Automatum; background screening of personnel with access; documented incident response; secure development lifecycle for any OBP-built extension.</w:t>
      </w:r>
    </w:p>
    <w:p>
      <w:pPr>
        <w:spacing w:after="160" w:before="0" w:line="276"/>
        <w:jc w:val="both"/>
      </w:pPr>
      <w:r>
        <w:rPr>
          <w:rFonts w:ascii="Calibri" w:cs="Calibri" w:eastAsia="Calibri" w:hAnsi="Calibri"/>
          <w:b/>
          <w:bCs/>
          <w:sz w:val="22"/>
          <w:szCs w:val="22"/>
        </w:rPr>
        <w:t xml:space="preserve">4. Subprocessors.</w:t>
      </w:r>
      <w:r>
        <w:rPr>
          <w:rFonts w:ascii="Calibri" w:cs="Calibri" w:eastAsia="Calibri" w:hAnsi="Calibri"/>
          <w:sz w:val="22"/>
          <w:szCs w:val="22"/>
        </w:rPr>
        <w:t xml:space="preserve"> [to supply: subprocessor list, with name, role, and processing location]. Clause 18.3 governs changes.</w:t>
      </w:r>
    </w:p>
    <w:p>
      <w:pPr>
        <w:pStyle w:val="Heading2"/>
        <w:keepNext/>
        <w:spacing w:after="140" w:before="300"/>
      </w:pPr>
      <w:r>
        <w:rPr>
          <w:rFonts w:ascii="Calibri" w:cs="Calibri" w:eastAsia="Calibri" w:hAnsi="Calibri"/>
          <w:b/>
          <w:bCs/>
          <w:sz w:val="24"/>
          <w:szCs w:val="24"/>
        </w:rPr>
        <w:t xml:space="preserve">Part D - Form of vendor continuity undertaking</w:t>
      </w:r>
    </w:p>
    <w:p>
      <w:pPr>
        <w:spacing w:after="160" w:before="0" w:line="276"/>
        <w:jc w:val="both"/>
      </w:pPr>
      <w:r>
        <w:rPr>
          <w:rFonts w:ascii="Calibri" w:cs="Calibri" w:eastAsia="Calibri" w:hAnsi="Calibri"/>
          <w:sz w:val="22"/>
          <w:szCs w:val="22"/>
        </w:rPr>
        <w:t xml:space="preserve">The undertaking required by clause 10.8 is given by the PSR vendor in favour of Automatum and provides, in substance, that on OBP's insolvency, cessation of business, or termination of this Agreement for OBP's breach, the vendor will, at Automatum's election and on Automatum's notice:</w:t>
      </w:r>
    </w:p>
    <w:p>
      <w:pPr>
        <w:pStyle w:val="ListParagraph"/>
        <w:numPr>
          <w:ilvl w:val="0"/>
          <w:numId w:val="1"/>
        </w:numPr>
        <w:spacing w:after="80" w:before="40" w:line="276"/>
      </w:pPr>
      <w:r>
        <w:rPr>
          <w:rFonts w:ascii="Calibri" w:cs="Calibri" w:eastAsia="Calibri" w:hAnsi="Calibri"/>
          <w:sz w:val="22"/>
          <w:szCs w:val="22"/>
        </w:rPr>
        <w:t xml:space="preserve">contract directly with Automatum or its nominee for the remainder of the affected Engagement Orders plus the transition period in clause 24.1;</w:t>
      </w:r>
    </w:p>
    <w:p>
      <w:pPr>
        <w:pStyle w:val="ListParagraph"/>
        <w:numPr>
          <w:ilvl w:val="0"/>
          <w:numId w:val="1"/>
        </w:numPr>
        <w:spacing w:after="80" w:before="40" w:line="276"/>
      </w:pPr>
      <w:r>
        <w:rPr>
          <w:rFonts w:ascii="Calibri" w:cs="Calibri" w:eastAsia="Calibri" w:hAnsi="Calibri"/>
          <w:sz w:val="22"/>
          <w:szCs w:val="22"/>
        </w:rPr>
        <w:t xml:space="preserve">do so at the rates OBP then pays, or at rates benchmarked to the vendor's then current list price for an equivalent volume, whichever is lower;</w:t>
      </w:r>
    </w:p>
    <w:p>
      <w:pPr>
        <w:pStyle w:val="ListParagraph"/>
        <w:numPr>
          <w:ilvl w:val="0"/>
          <w:numId w:val="1"/>
        </w:numPr>
        <w:spacing w:after="80" w:before="40" w:line="276"/>
      </w:pPr>
      <w:r>
        <w:rPr>
          <w:rFonts w:ascii="Calibri" w:cs="Calibri" w:eastAsia="Calibri" w:hAnsi="Calibri"/>
          <w:sz w:val="22"/>
          <w:szCs w:val="22"/>
        </w:rPr>
        <w:t xml:space="preserve">preserve each affected Registered Client's tenant and data intact and make it available without interruption; and</w:t>
      </w:r>
    </w:p>
    <w:p>
      <w:pPr>
        <w:pStyle w:val="ListParagraph"/>
        <w:numPr>
          <w:ilvl w:val="0"/>
          <w:numId w:val="1"/>
        </w:numPr>
        <w:spacing w:after="80" w:before="40" w:line="276"/>
      </w:pPr>
      <w:r>
        <w:rPr>
          <w:rFonts w:ascii="Calibri" w:cs="Calibri" w:eastAsia="Calibri" w:hAnsi="Calibri"/>
          <w:sz w:val="22"/>
          <w:szCs w:val="22"/>
        </w:rPr>
        <w:t xml:space="preserve">not delete or withhold tenant data for a period of at least ninety (90) days after the triggering event.</w:t>
      </w:r>
    </w:p>
    <w:p>
      <w:pPr>
        <w:spacing w:after="160" w:before="0" w:line="276"/>
        <w:jc w:val="both"/>
      </w:pPr>
      <w:r>
        <w:rPr>
          <w:rFonts w:ascii="Calibri" w:cs="Calibri" w:eastAsia="Calibri" w:hAnsi="Calibri"/>
          <w:sz w:val="22"/>
          <w:szCs w:val="22"/>
        </w:rPr>
        <w:t xml:space="preserve">[to supply: executed vendor continuity undertaking, to be attached]</w:t>
      </w:r>
    </w:p>
    <w:p>
      <w:pPr>
        <w:pStyle w:val="Heading1"/>
        <w:pageBreakBefore/>
        <w:spacing w:after="200" w:before="240"/>
        <w:jc w:val="left"/>
      </w:pPr>
      <w:r>
        <w:rPr>
          <w:rFonts w:ascii="Calibri" w:cs="Calibri" w:eastAsia="Calibri" w:hAnsi="Calibri"/>
          <w:b/>
          <w:bCs/>
          <w:sz w:val="28"/>
          <w:szCs w:val="28"/>
        </w:rPr>
        <w:t xml:space="preserve">Schedule 6 - Form of Engagement Order</w:t>
      </w:r>
    </w:p>
    <w:p>
      <w:pPr>
        <w:spacing w:after="160" w:before="0" w:line="276"/>
        <w:jc w:val="both"/>
      </w:pPr>
      <w:r>
        <w:rPr>
          <w:rFonts w:ascii="Calibri" w:cs="Calibri" w:eastAsia="Calibri" w:hAnsi="Calibri"/>
          <w:b/>
          <w:bCs/>
          <w:sz w:val="22"/>
          <w:szCs w:val="22"/>
        </w:rPr>
        <w:t xml:space="preserve">Engagement Order No. [ ] under the White Label Delivery Agreement dated [to supply: Effective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52"/>
        <w:gridCol w:w="1108"/>
      </w:tblGrid>
      <w:tr>
        <w:trPr>
          <w:tblHeader/>
        </w:trPr>
        <w:tc>
          <w:tcPr>
            <w:tcW w:type="dxa" w:w="825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110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8252"/>
            <w:tcMar>
              <w:top w:type="dxa" w:w="60"/>
              <w:left w:type="dxa" w:w="108"/>
              <w:bottom w:type="dxa" w:w="60"/>
              <w:right w:type="dxa" w:w="108"/>
            </w:tcMar>
          </w:tcPr>
          <w:p>
            <w:pPr>
              <w:spacing w:after="0" w:before="0" w:line="240"/>
            </w:pPr>
            <w:r>
              <w:rPr>
                <w:rFonts w:ascii="Calibri" w:cs="Calibri" w:eastAsia="Calibri" w:hAnsi="Calibri"/>
                <w:sz w:val="19"/>
                <w:szCs w:val="19"/>
              </w:rPr>
              <w:t xml:space="preserve">Registered Client legal name</w:t>
            </w:r>
          </w:p>
        </w:tc>
        <w:tc>
          <w:tcPr>
            <w:tcW w:type="dxa" w:w="1108"/>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8252"/>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Agreement reference and date</w:t>
            </w:r>
          </w:p>
        </w:tc>
        <w:tc>
          <w:tcPr>
            <w:tcW w:type="dxa" w:w="1108"/>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8252"/>
            <w:tcMar>
              <w:top w:type="dxa" w:w="60"/>
              <w:left w:type="dxa" w:w="108"/>
              <w:bottom w:type="dxa" w:w="60"/>
              <w:right w:type="dxa" w:w="108"/>
            </w:tcMar>
          </w:tcPr>
          <w:p>
            <w:pPr>
              <w:spacing w:after="0" w:before="0" w:line="240"/>
            </w:pPr>
            <w:r>
              <w:rPr>
                <w:rFonts w:ascii="Calibri" w:cs="Calibri" w:eastAsia="Calibri" w:hAnsi="Calibri"/>
                <w:sz w:val="19"/>
                <w:szCs w:val="19"/>
              </w:rPr>
              <w:t xml:space="preserve">Confirmation the Client Agreement complies with clause 6.5</w:t>
            </w:r>
          </w:p>
        </w:tc>
        <w:tc>
          <w:tcPr>
            <w:tcW w:type="dxa" w:w="1108"/>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8252"/>
            <w:tcMar>
              <w:top w:type="dxa" w:w="60"/>
              <w:left w:type="dxa" w:w="108"/>
              <w:bottom w:type="dxa" w:w="60"/>
              <w:right w:type="dxa" w:w="108"/>
            </w:tcMar>
          </w:tcPr>
          <w:p>
            <w:pPr>
              <w:spacing w:after="0" w:before="0" w:line="240"/>
            </w:pPr>
            <w:r>
              <w:rPr>
                <w:rFonts w:ascii="Calibri" w:cs="Calibri" w:eastAsia="Calibri" w:hAnsi="Calibri"/>
                <w:sz w:val="19"/>
                <w:szCs w:val="19"/>
              </w:rPr>
              <w:t xml:space="preserve">Tier</w:t>
            </w:r>
          </w:p>
        </w:tc>
        <w:tc>
          <w:tcPr>
            <w:tcW w:type="dxa" w:w="1108"/>
            <w:tcMar>
              <w:top w:type="dxa" w:w="60"/>
              <w:left w:type="dxa" w:w="108"/>
              <w:bottom w:type="dxa" w:w="60"/>
              <w:right w:type="dxa" w:w="108"/>
            </w:tcMar>
          </w:tcPr>
          <w:p>
            <w:pPr>
              <w:spacing w:after="0" w:before="0" w:line="240"/>
            </w:pPr>
            <w:r>
              <w:rPr>
                <w:rFonts w:ascii="Calibri" w:cs="Calibri" w:eastAsia="Calibri" w:hAnsi="Calibri"/>
                <w:sz w:val="19"/>
                <w:szCs w:val="19"/>
              </w:rPr>
              <w:t xml:space="preserve">1 / 2 / 3</w:t>
            </w:r>
          </w:p>
        </w:tc>
      </w:tr>
      <w:tr>
        <w:trPr>
          <w:tblHeader w:val="false"/>
        </w:trPr>
        <w:tc>
          <w:tcPr>
            <w:tcW w:type="dxa" w:w="8252"/>
            <w:tcMar>
              <w:top w:type="dxa" w:w="60"/>
              <w:left w:type="dxa" w:w="108"/>
              <w:bottom w:type="dxa" w:w="60"/>
              <w:right w:type="dxa" w:w="108"/>
            </w:tcMar>
          </w:tcPr>
          <w:p>
            <w:pPr>
              <w:spacing w:after="0" w:before="0" w:line="240"/>
            </w:pPr>
            <w:r>
              <w:rPr>
                <w:rFonts w:ascii="Calibri" w:cs="Calibri" w:eastAsia="Calibri" w:hAnsi="Calibri"/>
                <w:sz w:val="19"/>
                <w:szCs w:val="19"/>
              </w:rPr>
              <w:t xml:space="preserve">Engagement start date</w:t>
            </w:r>
          </w:p>
        </w:tc>
        <w:tc>
          <w:tcPr>
            <w:tcW w:type="dxa" w:w="1108"/>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8252"/>
            <w:tcMar>
              <w:top w:type="dxa" w:w="60"/>
              <w:left w:type="dxa" w:w="108"/>
              <w:bottom w:type="dxa" w:w="60"/>
              <w:right w:type="dxa" w:w="108"/>
            </w:tcMar>
          </w:tcPr>
          <w:p>
            <w:pPr>
              <w:spacing w:after="0" w:before="0" w:line="240"/>
            </w:pPr>
            <w:r>
              <w:rPr>
                <w:rFonts w:ascii="Calibri" w:cs="Calibri" w:eastAsia="Calibri" w:hAnsi="Calibri"/>
                <w:sz w:val="19"/>
                <w:szCs w:val="19"/>
              </w:rPr>
              <w:t xml:space="preserve">Engagement Year dates</w:t>
            </w:r>
          </w:p>
        </w:tc>
        <w:tc>
          <w:tcPr>
            <w:tcW w:type="dxa" w:w="1108"/>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8252"/>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per month</w:t>
            </w:r>
          </w:p>
        </w:tc>
        <w:tc>
          <w:tcPr>
            <w:tcW w:type="dxa" w:w="1108"/>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8252"/>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Retention per Engagement Year</w:t>
            </w:r>
          </w:p>
        </w:tc>
        <w:tc>
          <w:tcPr>
            <w:tcW w:type="dxa" w:w="1108"/>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r>
      <w:tr>
        <w:trPr>
          <w:tblHeader w:val="false"/>
        </w:trPr>
        <w:tc>
          <w:tcPr>
            <w:tcW w:type="dxa" w:w="8252"/>
            <w:tcMar>
              <w:top w:type="dxa" w:w="60"/>
              <w:left w:type="dxa" w:w="108"/>
              <w:bottom w:type="dxa" w:w="60"/>
              <w:right w:type="dxa" w:w="108"/>
            </w:tcMar>
          </w:tcPr>
          <w:p>
            <w:pPr>
              <w:spacing w:after="0" w:before="0" w:line="240"/>
            </w:pPr>
            <w:r>
              <w:rPr>
                <w:rFonts w:ascii="Calibri" w:cs="Calibri" w:eastAsia="Calibri" w:hAnsi="Calibri"/>
                <w:sz w:val="19"/>
                <w:szCs w:val="19"/>
              </w:rPr>
              <w:t xml:space="preserve">OBP Service Revenue per month</w:t>
            </w:r>
          </w:p>
        </w:tc>
        <w:tc>
          <w:tcPr>
            <w:tcW w:type="dxa" w:w="1108"/>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8252"/>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w:t>
            </w:r>
          </w:p>
        </w:tc>
        <w:tc>
          <w:tcPr>
            <w:tcW w:type="dxa" w:w="1108"/>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8252"/>
            <w:tcMar>
              <w:top w:type="dxa" w:w="60"/>
              <w:left w:type="dxa" w:w="108"/>
              <w:bottom w:type="dxa" w:w="60"/>
              <w:right w:type="dxa" w:w="108"/>
            </w:tcMar>
          </w:tcPr>
          <w:p>
            <w:pPr>
              <w:spacing w:after="0" w:before="0" w:line="240"/>
            </w:pPr>
            <w:r>
              <w:rPr>
                <w:rFonts w:ascii="Calibri" w:cs="Calibri" w:eastAsia="Calibri" w:hAnsi="Calibri"/>
                <w:sz w:val="19"/>
                <w:szCs w:val="19"/>
              </w:rPr>
              <w:t xml:space="preserve">Named Backup Channel Manager</w:t>
            </w:r>
          </w:p>
        </w:tc>
        <w:tc>
          <w:tcPr>
            <w:tcW w:type="dxa" w:w="1108"/>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8252"/>
            <w:tcMar>
              <w:top w:type="dxa" w:w="60"/>
              <w:left w:type="dxa" w:w="108"/>
              <w:bottom w:type="dxa" w:w="60"/>
              <w:right w:type="dxa" w:w="108"/>
            </w:tcMar>
          </w:tcPr>
          <w:p>
            <w:pPr>
              <w:spacing w:after="0" w:before="0" w:line="240"/>
            </w:pPr>
            <w:r>
              <w:rPr>
                <w:rFonts w:ascii="Calibri" w:cs="Calibri" w:eastAsia="Calibri" w:hAnsi="Calibri"/>
                <w:sz w:val="19"/>
                <w:szCs w:val="19"/>
              </w:rPr>
              <w:t xml:space="preserve">Named Deal Desk Owner (Tier 3) and coverage window</w:t>
            </w:r>
          </w:p>
        </w:tc>
        <w:tc>
          <w:tcPr>
            <w:tcW w:type="dxa" w:w="1108"/>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8252"/>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allocated</w:t>
            </w:r>
          </w:p>
        </w:tc>
        <w:tc>
          <w:tcPr>
            <w:tcW w:type="dxa" w:w="1108"/>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8252"/>
            <w:tcMar>
              <w:top w:type="dxa" w:w="60"/>
              <w:left w:type="dxa" w:w="108"/>
              <w:bottom w:type="dxa" w:w="60"/>
              <w:right w:type="dxa" w:w="108"/>
            </w:tcMar>
          </w:tcPr>
          <w:p>
            <w:pPr>
              <w:spacing w:after="0" w:before="0" w:line="240"/>
            </w:pPr>
            <w:r>
              <w:rPr>
                <w:rFonts w:ascii="Calibri" w:cs="Calibri" w:eastAsia="Calibri" w:hAnsi="Calibri"/>
                <w:sz w:val="19"/>
                <w:szCs w:val="19"/>
              </w:rPr>
              <w:t xml:space="preserve">PSR tenancy and partner record threshold</w:t>
            </w:r>
          </w:p>
        </w:tc>
        <w:tc>
          <w:tcPr>
            <w:tcW w:type="dxa" w:w="1108"/>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8252"/>
            <w:tcMar>
              <w:top w:type="dxa" w:w="60"/>
              <w:left w:type="dxa" w:w="108"/>
              <w:bottom w:type="dxa" w:w="60"/>
              <w:right w:type="dxa" w:w="108"/>
            </w:tcMar>
          </w:tcPr>
          <w:p>
            <w:pPr>
              <w:spacing w:after="0" w:before="0" w:line="240"/>
            </w:pPr>
            <w:r>
              <w:rPr>
                <w:rFonts w:ascii="Calibri" w:cs="Calibri" w:eastAsia="Calibri" w:hAnsi="Calibri"/>
                <w:sz w:val="19"/>
                <w:szCs w:val="19"/>
              </w:rPr>
              <w:t xml:space="preserve">HubSpot and Salesforce instances, master system and sync direction</w:t>
            </w:r>
          </w:p>
        </w:tc>
        <w:tc>
          <w:tcPr>
            <w:tcW w:type="dxa" w:w="1108"/>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8252"/>
            <w:tcMar>
              <w:top w:type="dxa" w:w="60"/>
              <w:left w:type="dxa" w:w="108"/>
              <w:bottom w:type="dxa" w:w="60"/>
              <w:right w:type="dxa" w:w="108"/>
            </w:tcMar>
          </w:tcPr>
          <w:p>
            <w:pPr>
              <w:spacing w:after="0" w:before="0" w:line="240"/>
            </w:pPr>
            <w:r>
              <w:rPr>
                <w:rFonts w:ascii="Calibri" w:cs="Calibri" w:eastAsia="Calibri" w:hAnsi="Calibri"/>
                <w:sz w:val="19"/>
                <w:szCs w:val="19"/>
              </w:rPr>
              <w:t xml:space="preserve">Intake channel</w:t>
            </w:r>
          </w:p>
        </w:tc>
        <w:tc>
          <w:tcPr>
            <w:tcW w:type="dxa" w:w="1108"/>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8252"/>
            <w:tcMar>
              <w:top w:type="dxa" w:w="60"/>
              <w:left w:type="dxa" w:w="108"/>
              <w:bottom w:type="dxa" w:w="60"/>
              <w:right w:type="dxa" w:w="108"/>
            </w:tcMar>
          </w:tcPr>
          <w:p>
            <w:pPr>
              <w:spacing w:after="0" w:before="0" w:line="240"/>
            </w:pPr>
            <w:r>
              <w:rPr>
                <w:rFonts w:ascii="Calibri" w:cs="Calibri" w:eastAsia="Calibri" w:hAnsi="Calibri"/>
                <w:sz w:val="19"/>
                <w:szCs w:val="19"/>
              </w:rPr>
              <w:t xml:space="preserve">CRM system of record</w:t>
            </w:r>
          </w:p>
        </w:tc>
        <w:tc>
          <w:tcPr>
            <w:tcW w:type="dxa" w:w="1108"/>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8252"/>
            <w:tcMar>
              <w:top w:type="dxa" w:w="60"/>
              <w:left w:type="dxa" w:w="108"/>
              <w:bottom w:type="dxa" w:w="60"/>
              <w:right w:type="dxa" w:w="108"/>
            </w:tcMar>
          </w:tcPr>
          <w:p>
            <w:pPr>
              <w:spacing w:after="0" w:before="0" w:line="240"/>
            </w:pPr>
            <w:r>
              <w:rPr>
                <w:rFonts w:ascii="Calibri" w:cs="Calibri" w:eastAsia="Calibri" w:hAnsi="Calibri"/>
                <w:sz w:val="19"/>
                <w:szCs w:val="19"/>
              </w:rPr>
              <w:t xml:space="preserve">Ideal partner profile</w:t>
            </w:r>
          </w:p>
        </w:tc>
        <w:tc>
          <w:tcPr>
            <w:tcW w:type="dxa" w:w="1108"/>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8252"/>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Request form and Issuance-Ready Package form</w:t>
            </w:r>
          </w:p>
        </w:tc>
        <w:tc>
          <w:tcPr>
            <w:tcW w:type="dxa" w:w="1108"/>
            <w:tcMar>
              <w:top w:type="dxa" w:w="60"/>
              <w:left w:type="dxa" w:w="108"/>
              <w:bottom w:type="dxa" w:w="60"/>
              <w:right w:type="dxa" w:w="108"/>
            </w:tcMar>
          </w:tcPr>
          <w:p>
            <w:pPr>
              <w:spacing w:after="0" w:before="0" w:line="240"/>
            </w:pPr>
            <w:r>
              <w:rPr>
                <w:rFonts w:ascii="Calibri" w:cs="Calibri" w:eastAsia="Calibri" w:hAnsi="Calibri"/>
                <w:sz w:val="19"/>
                <w:szCs w:val="19"/>
              </w:rPr>
              <w:t xml:space="preserve">Attached</w:t>
            </w:r>
          </w:p>
        </w:tc>
      </w:tr>
      <w:tr>
        <w:trPr>
          <w:tblHeader w:val="false"/>
        </w:trPr>
        <w:tc>
          <w:tcPr>
            <w:tcW w:type="dxa" w:w="8252"/>
            <w:tcMar>
              <w:top w:type="dxa" w:w="60"/>
              <w:left w:type="dxa" w:w="108"/>
              <w:bottom w:type="dxa" w:w="60"/>
              <w:right w:type="dxa" w:w="108"/>
            </w:tcMar>
          </w:tcPr>
          <w:p>
            <w:pPr>
              <w:spacing w:after="0" w:before="0" w:line="240"/>
            </w:pPr>
            <w:r>
              <w:rPr>
                <w:rFonts w:ascii="Calibri" w:cs="Calibri" w:eastAsia="Calibri" w:hAnsi="Calibri"/>
                <w:sz w:val="19"/>
                <w:szCs w:val="19"/>
              </w:rPr>
              <w:t xml:space="preserve">Baseline Assumptions (Tier 3): active partners, monthly onboardings</w:t>
            </w:r>
          </w:p>
        </w:tc>
        <w:tc>
          <w:tcPr>
            <w:tcW w:type="dxa" w:w="1108"/>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8252"/>
            <w:tcMar>
              <w:top w:type="dxa" w:w="60"/>
              <w:left w:type="dxa" w:w="108"/>
              <w:bottom w:type="dxa" w:w="60"/>
              <w:right w:type="dxa" w:w="108"/>
            </w:tcMar>
          </w:tcPr>
          <w:p>
            <w:pPr>
              <w:spacing w:after="0" w:before="0" w:line="240"/>
            </w:pPr>
            <w:r>
              <w:rPr>
                <w:rFonts w:ascii="Calibri" w:cs="Calibri" w:eastAsia="Calibri" w:hAnsi="Calibri"/>
                <w:sz w:val="19"/>
                <w:szCs w:val="19"/>
              </w:rPr>
              <w:t xml:space="preserve">Onboarding Throughput Rate and concurrent onboardings (Tier 3)</w:t>
            </w:r>
          </w:p>
        </w:tc>
        <w:tc>
          <w:tcPr>
            <w:tcW w:type="dxa" w:w="1108"/>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8252"/>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licence warranted? (Tier 3)</w:t>
            </w:r>
          </w:p>
        </w:tc>
        <w:tc>
          <w:tcPr>
            <w:tcW w:type="dxa" w:w="1108"/>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8252"/>
            <w:tcMar>
              <w:top w:type="dxa" w:w="60"/>
              <w:left w:type="dxa" w:w="108"/>
              <w:bottom w:type="dxa" w:w="60"/>
              <w:right w:type="dxa" w:w="108"/>
            </w:tcMar>
          </w:tcPr>
          <w:p>
            <w:pPr>
              <w:spacing w:after="0" w:before="0" w:line="240"/>
            </w:pPr>
            <w:r>
              <w:rPr>
                <w:rFonts w:ascii="Calibri" w:cs="Calibri" w:eastAsia="Calibri" w:hAnsi="Calibri"/>
                <w:sz w:val="19"/>
                <w:szCs w:val="19"/>
              </w:rPr>
              <w:t xml:space="preserve">Prior Relationships notified under clause 4.4</w:t>
            </w:r>
          </w:p>
        </w:tc>
        <w:tc>
          <w:tcPr>
            <w:tcW w:type="dxa" w:w="1108"/>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8252"/>
            <w:tcMar>
              <w:top w:type="dxa" w:w="60"/>
              <w:left w:type="dxa" w:w="108"/>
              <w:bottom w:type="dxa" w:w="60"/>
              <w:right w:type="dxa" w:w="108"/>
            </w:tcMar>
          </w:tcPr>
          <w:p>
            <w:pPr>
              <w:spacing w:after="0" w:before="0" w:line="240"/>
            </w:pPr>
            <w:r>
              <w:rPr>
                <w:rFonts w:ascii="Calibri" w:cs="Calibri" w:eastAsia="Calibri" w:hAnsi="Calibri"/>
                <w:sz w:val="19"/>
                <w:szCs w:val="19"/>
              </w:rPr>
              <w:t xml:space="preserve">Variations to the Agreement under clause 2.3(a), if any</w:t>
            </w:r>
          </w:p>
        </w:tc>
        <w:tc>
          <w:tcPr>
            <w:tcW w:type="dxa" w:w="1108"/>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60" w:before="0" w:line="276"/>
        <w:jc w:val="both"/>
      </w:pPr>
      <w:r>
        <w:rPr>
          <w:rFonts w:ascii="Calibri" w:cs="Calibri" w:eastAsia="Calibri" w:hAnsi="Calibri"/>
          <w:sz w:val="22"/>
          <w:szCs w:val="22"/>
        </w:rPr>
        <w:t xml:space="preserve">Signed for and on behalf of Automatum and OBP.</w:t>
      </w:r>
    </w:p>
    <w:p>
      <w:pPr>
        <w:pStyle w:val="Heading1"/>
        <w:pageBreakBefore/>
        <w:spacing w:after="200" w:before="240"/>
        <w:jc w:val="left"/>
      </w:pPr>
      <w:r>
        <w:rPr>
          <w:rFonts w:ascii="Calibri" w:cs="Calibri" w:eastAsia="Calibri" w:hAnsi="Calibri"/>
          <w:b/>
          <w:bCs/>
          <w:sz w:val="28"/>
          <w:szCs w:val="28"/>
        </w:rPr>
        <w:t xml:space="preserve">Schedule 7 - Key Personnel, Coverage and Capacity</w:t>
      </w:r>
    </w:p>
    <w:p>
      <w:pPr>
        <w:pStyle w:val="Heading2"/>
        <w:keepNext/>
        <w:spacing w:after="140" w:before="300"/>
      </w:pPr>
      <w:r>
        <w:rPr>
          <w:rFonts w:ascii="Calibri" w:cs="Calibri" w:eastAsia="Calibri" w:hAnsi="Calibri"/>
          <w:b/>
          <w:bCs/>
          <w:sz w:val="24"/>
          <w:szCs w:val="24"/>
        </w:rPr>
        <w:t xml:space="preserve">1. Named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34"/>
        <w:gridCol w:w="520"/>
        <w:gridCol w:w="2674"/>
        <w:gridCol w:w="4532"/>
      </w:tblGrid>
      <w:tr>
        <w:trPr>
          <w:tblHeader/>
        </w:trPr>
        <w:tc>
          <w:tcPr>
            <w:tcW w:type="dxa" w:w="163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Tiers</w:t>
            </w:r>
          </w:p>
        </w:tc>
        <w:tc>
          <w:tcPr>
            <w:tcW w:type="dxa" w:w="267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Committed hours per Engagement Month</w:t>
            </w:r>
          </w:p>
        </w:tc>
        <w:tc>
          <w:tcPr>
            <w:tcW w:type="dxa" w:w="453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Coverage window</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Backup Channel Manager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Owner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coverage window, stated in the Engagement Order]</w:t>
            </w:r>
          </w:p>
        </w:tc>
      </w:tr>
    </w:tbl>
    <w:p>
      <w:pPr>
        <w:spacing w:after="160"/>
      </w:pPr>
      <w:r>
        <w:t xml:space="preserve"/>
      </w:r>
    </w:p>
    <w:p>
      <w:pPr>
        <w:spacing w:after="160" w:before="0" w:line="276"/>
        <w:jc w:val="both"/>
      </w:pPr>
      <w:r>
        <w:rPr>
          <w:rFonts w:ascii="Calibri" w:cs="Calibri" w:eastAsia="Calibri" w:hAnsi="Calibri"/>
          <w:sz w:val="22"/>
          <w:szCs w:val="22"/>
        </w:rPr>
        <w:t xml:space="preserve">The committed hours and the Tier 3 coverage window are open items under Schedule 8 and are the figures the feasibility study records as "named-owner hours per tier and accounts per owner, to confirm".</w:t>
      </w:r>
    </w:p>
    <w:p>
      <w:pPr>
        <w:pStyle w:val="Heading2"/>
        <w:keepNext/>
        <w:spacing w:after="140" w:before="300"/>
      </w:pPr>
      <w:r>
        <w:rPr>
          <w:rFonts w:ascii="Calibri" w:cs="Calibri" w:eastAsia="Calibri" w:hAnsi="Calibri"/>
          <w:b/>
          <w:bCs/>
          <w:sz w:val="24"/>
          <w:szCs w:val="24"/>
        </w:rPr>
        <w:t xml:space="preserve">2. Capacity ratios</w:t>
      </w:r>
    </w:p>
    <w:p>
      <w:pPr>
        <w:spacing w:after="160" w:before="0" w:line="276"/>
        <w:jc w:val="both"/>
      </w:pPr>
      <w:r>
        <w:rPr>
          <w:rFonts w:ascii="Calibri" w:cs="Calibri" w:eastAsia="Calibri" w:hAnsi="Calibri"/>
          <w:sz w:val="22"/>
          <w:szCs w:val="22"/>
        </w:rPr>
        <w:t xml:space="preserve">Engagements are weighted by Tier for the purpose of the accounts-per-owner cap: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468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Weight</w:t>
            </w:r>
          </w:p>
        </w:tc>
      </w:tr>
      <w:tr>
        <w:trPr>
          <w:tblHeader w:val="false"/>
        </w:trPr>
        <w:tc>
          <w:tcPr>
            <w:tcW w:type="dxa" w:w="4680"/>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4680"/>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r>
      <w:tr>
        <w:trPr>
          <w:tblHeader w:val="false"/>
        </w:trPr>
        <w:tc>
          <w:tcPr>
            <w:tcW w:type="dxa" w:w="4680"/>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4680"/>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r>
      <w:tr>
        <w:trPr>
          <w:tblHeader w:val="false"/>
        </w:trPr>
        <w:tc>
          <w:tcPr>
            <w:tcW w:type="dxa" w:w="4680"/>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4680"/>
            <w:tcMar>
              <w:top w:type="dxa" w:w="60"/>
              <w:left w:type="dxa" w:w="108"/>
              <w:bottom w:type="dxa" w:w="60"/>
              <w:right w:type="dxa" w:w="108"/>
            </w:tcMar>
          </w:tcPr>
          <w:p>
            <w:pPr>
              <w:spacing w:after="0" w:before="0" w:line="240"/>
            </w:pPr>
            <w:r>
              <w:rPr>
                <w:rFonts w:ascii="Calibri" w:cs="Calibri" w:eastAsia="Calibri" w:hAnsi="Calibri"/>
                <w:sz w:val="19"/>
                <w:szCs w:val="19"/>
              </w:rPr>
              <w:t xml:space="preserve">4</w:t>
            </w:r>
          </w:p>
        </w:tc>
      </w:tr>
    </w:tbl>
    <w:p>
      <w:pPr>
        <w:spacing w:after="160"/>
      </w:pPr>
      <w:r>
        <w:t xml:space="preserve"/>
      </w:r>
    </w:p>
    <w:p>
      <w:pPr>
        <w:spacing w:after="160" w:before="0" w:line="276"/>
        <w:jc w:val="both"/>
      </w:pPr>
      <w:r>
        <w:rPr>
          <w:rFonts w:ascii="Calibri" w:cs="Calibri" w:eastAsia="Calibri" w:hAnsi="Calibri"/>
          <w:sz w:val="22"/>
          <w:szCs w:val="22"/>
        </w:rPr>
        <w:t xml:space="preserve">A Channel Manager may hold at most twelve (12) weighted points, and at most four (4) Tier 3 Engagements, whichever limit binds first. Clause 9.7 makes exceeding a ratio an independent breach, actionable before any service level has been missed, because ratio breach is the leading indicator of service failure and service failure is the lagging one.</w:t>
      </w:r>
    </w:p>
    <w:p>
      <w:pPr>
        <w:pStyle w:val="Heading2"/>
        <w:keepNext/>
        <w:spacing w:after="140" w:before="300"/>
      </w:pPr>
      <w:r>
        <w:rPr>
          <w:rFonts w:ascii="Calibri" w:cs="Calibri" w:eastAsia="Calibri" w:hAnsi="Calibri"/>
          <w:b/>
          <w:bCs/>
          <w:sz w:val="24"/>
          <w:szCs w:val="24"/>
        </w:rPr>
        <w:t xml:space="preserve">3. Relationship managers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3240"/>
        <w:gridCol w:w="5040"/>
      </w:tblGrid>
      <w:tr>
        <w:trPr>
          <w:tblHeader/>
        </w:trPr>
        <w:tc>
          <w:tcPr>
            <w:tcW w:type="dxa" w:w="108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Party</w:t>
            </w:r>
          </w:p>
        </w:tc>
        <w:tc>
          <w:tcPr>
            <w:tcW w:type="dxa" w:w="32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Relationship manager</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Executive for escalation under clause 26.2</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8 - Dependencies, Assumptions and Open Items</w:t>
      </w:r>
    </w:p>
    <w:p>
      <w:pPr>
        <w:pStyle w:val="Heading2"/>
        <w:keepNext/>
        <w:spacing w:after="140" w:before="300"/>
      </w:pPr>
      <w:r>
        <w:rPr>
          <w:rFonts w:ascii="Calibri" w:cs="Calibri" w:eastAsia="Calibri" w:hAnsi="Calibri"/>
          <w:b/>
          <w:bCs/>
          <w:sz w:val="24"/>
          <w:szCs w:val="24"/>
        </w:rPr>
        <w:t xml:space="preserve">1. How to read this Schedule</w:t>
      </w:r>
    </w:p>
    <w:p>
      <w:pPr>
        <w:spacing w:after="160" w:before="0" w:line="276"/>
        <w:jc w:val="both"/>
      </w:pPr>
      <w:r>
        <w:rPr>
          <w:rFonts w:ascii="Calibri" w:cs="Calibri" w:eastAsia="Calibri" w:hAnsi="Calibri"/>
          <w:sz w:val="22"/>
          <w:szCs w:val="22"/>
        </w:rPr>
        <w:t xml:space="preserve">Three classes of open item, following the convention in the feasibility study:</w:t>
      </w:r>
    </w:p>
    <w:p>
      <w:pPr>
        <w:pStyle w:val="ListParagraph"/>
        <w:numPr>
          <w:ilvl w:val="0"/>
          <w:numId w:val="1"/>
        </w:numPr>
        <w:spacing w:after="80" w:before="40" w:line="276"/>
      </w:pPr>
      <w:r>
        <w:rPr>
          <w:rFonts w:ascii="Calibri" w:cs="Calibri" w:eastAsia="Calibri" w:hAnsi="Calibri"/>
          <w:b/>
          <w:bCs/>
          <w:sz w:val="22"/>
          <w:szCs w:val="22"/>
        </w:rPr>
        <w:t xml:space="preserve">to supply</w:t>
      </w:r>
      <w:r>
        <w:rPr>
          <w:rFonts w:ascii="Calibri" w:cs="Calibri" w:eastAsia="Calibri" w:hAnsi="Calibri"/>
          <w:sz w:val="22"/>
          <w:szCs w:val="22"/>
        </w:rPr>
        <w:t xml:space="preserve"> - a known fact awaiting transcription. No commercial content.</w:t>
      </w:r>
    </w:p>
    <w:p>
      <w:pPr>
        <w:pStyle w:val="ListParagraph"/>
        <w:numPr>
          <w:ilvl w:val="0"/>
          <w:numId w:val="1"/>
        </w:numPr>
        <w:spacing w:after="80" w:before="40" w:line="276"/>
      </w:pPr>
      <w:r>
        <w:rPr>
          <w:rFonts w:ascii="Calibri" w:cs="Calibri" w:eastAsia="Calibri" w:hAnsi="Calibri"/>
          <w:b/>
          <w:bCs/>
          <w:sz w:val="22"/>
          <w:szCs w:val="22"/>
        </w:rPr>
        <w:t xml:space="preserve">to confirm</w:t>
      </w:r>
      <w:r>
        <w:rPr>
          <w:rFonts w:ascii="Calibri" w:cs="Calibri" w:eastAsia="Calibri" w:hAnsi="Calibri"/>
          <w:sz w:val="22"/>
          <w:szCs w:val="22"/>
        </w:rPr>
        <w:t xml:space="preserve"> - a commercial figure requiring a decision or a test. Every such item inside an operative obligation carries a default that applies if this Agreement is executed before the item is closed.</w:t>
      </w:r>
    </w:p>
    <w:p>
      <w:pPr>
        <w:pStyle w:val="ListParagraph"/>
        <w:numPr>
          <w:ilvl w:val="0"/>
          <w:numId w:val="1"/>
        </w:numPr>
        <w:spacing w:after="80" w:before="40" w:line="276"/>
      </w:pPr>
      <w:r>
        <w:rPr>
          <w:rFonts w:ascii="Calibri" w:cs="Calibri" w:eastAsia="Calibri" w:hAnsi="Calibri"/>
          <w:b/>
          <w:bCs/>
          <w:sz w:val="22"/>
          <w:szCs w:val="22"/>
        </w:rPr>
        <w:t xml:space="preserve">to verify</w:t>
      </w:r>
      <w:r>
        <w:rPr>
          <w:rFonts w:ascii="Calibri" w:cs="Calibri" w:eastAsia="Calibri" w:hAnsi="Calibri"/>
          <w:sz w:val="22"/>
          <w:szCs w:val="22"/>
        </w:rPr>
        <w:t xml:space="preserve"> - an external dependency neither Party controls, resolved by the machinery in clause 14 and never by assumption.</w:t>
      </w:r>
    </w:p>
    <w:p>
      <w:pPr>
        <w:spacing w:after="160" w:before="0" w:line="276"/>
        <w:jc w:val="both"/>
      </w:pPr>
      <w:r>
        <w:rPr>
          <w:rFonts w:ascii="Calibri" w:cs="Calibri" w:eastAsia="Calibri" w:hAnsi="Calibri"/>
          <w:sz w:val="22"/>
          <w:szCs w:val="22"/>
        </w:rPr>
        <w:t xml:space="preserve">This register must read nil before execution. Any item marked "to confirm" that is still open at execution takes its stated default.</w:t>
      </w:r>
    </w:p>
    <w:p>
      <w:pPr>
        <w:pStyle w:val="Heading2"/>
        <w:keepNext/>
        <w:spacing w:after="140" w:before="300"/>
      </w:pPr>
      <w:r>
        <w:rPr>
          <w:rFonts w:ascii="Calibri" w:cs="Calibri" w:eastAsia="Calibri" w:hAnsi="Calibri"/>
          <w:b/>
          <w:bCs/>
          <w:sz w:val="24"/>
          <w:szCs w:val="24"/>
        </w:rPr>
        <w:t xml:space="preserve">2. Dependencies to verify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
        <w:gridCol w:w="2773"/>
        <w:gridCol w:w="3259"/>
      </w:tblGrid>
      <w:tr>
        <w:trPr>
          <w:tblHeader/>
        </w:trPr>
        <w:tc>
          <w:tcPr>
            <w:tcW w:type="dxa" w:w="31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20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c>
          <w:tcPr>
            <w:tcW w:type="dxa" w:w="277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Longstop</w:t>
            </w:r>
          </w:p>
        </w:tc>
        <w:tc>
          <w:tcPr>
            <w:tcW w:type="dxa" w:w="325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Consequence if not verified</w:t>
            </w:r>
          </w:p>
        </w:tc>
      </w:tr>
      <w:tr>
        <w:trPr>
          <w:tblHeader w:val="false"/>
        </w:trPr>
        <w:tc>
          <w:tcPr>
            <w:tcW w:type="dxa" w:w="3120"/>
            <w:tcMar>
              <w:top w:type="dxa" w:w="60"/>
              <w:left w:type="dxa" w:w="108"/>
              <w:bottom w:type="dxa" w:w="60"/>
              <w:right w:type="dxa" w:w="108"/>
            </w:tcMar>
          </w:tcPr>
          <w:p>
            <w:pPr>
              <w:spacing w:after="0" w:before="0" w:line="240"/>
            </w:pPr>
            <w:r>
              <w:rPr>
                <w:rFonts w:ascii="Calibri" w:cs="Calibri" w:eastAsia="Calibri" w:hAnsi="Calibri"/>
                <w:sz w:val="19"/>
                <w:szCs w:val="19"/>
              </w:rPr>
              <w:t xml:space="preserve">Whether, and by what mechanism, a third-party reseller can issue offers against Automatum's listing while Automatum is seller of record</w:t>
            </w:r>
          </w:p>
        </w:tc>
        <w:tc>
          <w:tcPr>
            <w:tcW w:type="dxa" w:w="208"/>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77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longstop date, being the earlier of 45 days from the Effective Date and first publication of the Tier table]</w:t>
            </w:r>
          </w:p>
        </w:tc>
        <w:tc>
          <w:tcPr>
            <w:tcW w:type="dxa" w:w="3259"/>
            <w:tcMar>
              <w:top w:type="dxa" w:w="60"/>
              <w:left w:type="dxa" w:w="108"/>
              <w:bottom w:type="dxa" w:w="60"/>
              <w:right w:type="dxa" w:w="108"/>
            </w:tcMar>
          </w:tcPr>
          <w:p>
            <w:pPr>
              <w:spacing w:after="0" w:before="0" w:line="240"/>
            </w:pPr>
            <w:r>
              <w:rPr>
                <w:rFonts w:ascii="Calibri" w:cs="Calibri" w:eastAsia="Calibri" w:hAnsi="Calibri"/>
                <w:sz w:val="19"/>
                <w:szCs w:val="19"/>
              </w:rPr>
              <w:t xml:space="preserve">The fallback metric in Schedule 4 paragraph 5.2 applies automatically under clause 14.2(c). Neither Party is in breach and neither is liable.</w:t>
            </w:r>
          </w:p>
        </w:tc>
      </w:tr>
      <w:tr>
        <w:trPr>
          <w:tblHeader w:val="false"/>
        </w:trPr>
        <w:tc>
          <w:tcPr>
            <w:tcW w:type="dxa" w:w="3120"/>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continuity undertaking under clause 10.8</w:t>
            </w:r>
          </w:p>
        </w:tc>
        <w:tc>
          <w:tcPr>
            <w:tcW w:type="dxa" w:w="208"/>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773"/>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25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may proceed, decline, or require an alternative PSR under clause 10.8.</w:t>
            </w:r>
          </w:p>
        </w:tc>
      </w:tr>
      <w:tr>
        <w:trPr>
          <w:tblHeader w:val="false"/>
        </w:trPr>
        <w:tc>
          <w:tcPr>
            <w:tcW w:type="dxa" w:w="3120"/>
            <w:tcMar>
              <w:top w:type="dxa" w:w="60"/>
              <w:left w:type="dxa" w:w="108"/>
              <w:bottom w:type="dxa" w:w="60"/>
              <w:right w:type="dxa" w:w="108"/>
            </w:tcMar>
          </w:tcPr>
          <w:p>
            <w:pPr>
              <w:spacing w:after="0" w:before="0" w:line="240"/>
            </w:pPr>
            <w:r>
              <w:rPr>
                <w:rFonts w:ascii="Calibri" w:cs="Calibri" w:eastAsia="Calibri" w:hAnsi="Calibri"/>
                <w:sz w:val="19"/>
                <w:szCs w:val="19"/>
              </w:rPr>
              <w:t xml:space="preserve">Capacity test of the service levels in Schedule 4 and the Tier 3 roster</w:t>
            </w:r>
          </w:p>
        </w:tc>
        <w:tc>
          <w:tcPr>
            <w:tcW w:type="dxa" w:w="208"/>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c>
          <w:tcPr>
            <w:tcW w:type="dxa" w:w="2773"/>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publication of the Tier table</w:t>
            </w:r>
          </w:p>
        </w:tc>
        <w:tc>
          <w:tcPr>
            <w:tcW w:type="dxa" w:w="3259"/>
            <w:tcMar>
              <w:top w:type="dxa" w:w="60"/>
              <w:left w:type="dxa" w:w="108"/>
              <w:bottom w:type="dxa" w:w="60"/>
              <w:right w:type="dxa" w:w="108"/>
            </w:tcMar>
          </w:tcPr>
          <w:p>
            <w:pPr>
              <w:spacing w:after="0" w:before="0" w:line="240"/>
            </w:pPr>
            <w:r>
              <w:rPr>
                <w:rFonts w:ascii="Calibri" w:cs="Calibri" w:eastAsia="Calibri" w:hAnsi="Calibri"/>
                <w:sz w:val="19"/>
                <w:szCs w:val="19"/>
              </w:rPr>
              <w:t xml:space="preserve">No Tier table may be published and no Engagement Order may be executed at an untested Tier. Clause 14.4.</w:t>
            </w:r>
          </w:p>
        </w:tc>
      </w:tr>
      <w:tr>
        <w:trPr>
          <w:tblHeader w:val="false"/>
        </w:trPr>
        <w:tc>
          <w:tcPr>
            <w:tcW w:type="dxa" w:w="3120"/>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certificates under clause 22</w:t>
            </w:r>
          </w:p>
        </w:tc>
        <w:tc>
          <w:tcPr>
            <w:tcW w:type="dxa" w:w="208"/>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773"/>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259"/>
            <w:tcMar>
              <w:top w:type="dxa" w:w="60"/>
              <w:left w:type="dxa" w:w="108"/>
              <w:bottom w:type="dxa" w:w="60"/>
              <w:right w:type="dxa" w:w="108"/>
            </w:tcMar>
          </w:tcPr>
          <w:p>
            <w:pPr>
              <w:spacing w:after="0" w:before="0" w:line="240"/>
            </w:pPr>
            <w:r>
              <w:rPr>
                <w:rFonts w:ascii="Calibri" w:cs="Calibri" w:eastAsia="Calibri" w:hAnsi="Calibri"/>
                <w:sz w:val="19"/>
                <w:szCs w:val="19"/>
              </w:rPr>
              <w:t xml:space="preserve">No Engagement Order is executed.</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3. Assumptions</w:t>
      </w:r>
    </w:p>
    <w:p>
      <w:pPr>
        <w:spacing w:after="160" w:before="0" w:line="276"/>
        <w:jc w:val="both"/>
      </w:pPr>
      <w:r>
        <w:rPr>
          <w:rFonts w:ascii="Calibri" w:cs="Calibri" w:eastAsia="Calibri" w:hAnsi="Calibri"/>
          <w:b/>
          <w:bCs/>
          <w:sz w:val="22"/>
          <w:szCs w:val="22"/>
        </w:rPr>
        <w:t xml:space="preserve">3.1 Engagement fees are invoiced directly.</w:t>
      </w:r>
      <w:r>
        <w:rPr>
          <w:rFonts w:ascii="Calibri" w:cs="Calibri" w:eastAsia="Calibri" w:hAnsi="Calibri"/>
          <w:sz w:val="22"/>
          <w:szCs w:val="22"/>
        </w:rPr>
        <w:t xml:space="preserve"> The figures in Schedule 2 assume engagement fees are invoiced by Automatum to the Client directly and not transacted through AWS Marketplace, so that no Marketplace listing fee reduces them. The study's own arithmetic assumes this: at Tier 1 the stated $9,999 and $20,001 sum to exactly $30,000, leaving no room for a listing fee. If engagement fees are later transacted through Marketplace, a listing fee of approximately three percent (3%) would be $900, $1,800 and $2,700 per Engagement Year at Tiers 1, 2 and 3, and its allocation must be agreed under clause 11.10 before that arrangement begins.</w:t>
      </w:r>
    </w:p>
    <w:p>
      <w:pPr>
        <w:spacing w:after="160" w:before="0" w:line="276"/>
        <w:jc w:val="both"/>
      </w:pPr>
      <w:r>
        <w:rPr>
          <w:rFonts w:ascii="Calibri" w:cs="Calibri" w:eastAsia="Calibri" w:hAnsi="Calibri"/>
          <w:b/>
          <w:bCs/>
          <w:sz w:val="22"/>
          <w:szCs w:val="22"/>
        </w:rPr>
        <w:t xml:space="preserve">3.2 Automatum's Enterprise tier commitment.</w:t>
      </w:r>
      <w:r>
        <w:rPr>
          <w:rFonts w:ascii="Calibri" w:cs="Calibri" w:eastAsia="Calibri" w:hAnsi="Calibri"/>
          <w:sz w:val="22"/>
          <w:szCs w:val="22"/>
        </w:rPr>
        <w:t xml:space="preserve"> It is assumed that Automatum's $9,999 Enterprise tier is committed annually. Under the pro rata accrual in clause 11.3, an Engagement terminating at the end of Engagement Month 3 recovers only $2,499.75 of it. Closing that gap is a matter for the Client Agreement, by a minimum term with an early termination charge, or by a monthly-cancellable Enterprise tier on Automatum's side, or by Automatum accepting early churn as its own loss. </w:t>
      </w:r>
      <w:r>
        <w:rPr>
          <w:rFonts w:ascii="Calibri" w:cs="Calibri" w:eastAsia="Calibri" w:hAnsi="Calibri"/>
          <w:b/>
          <w:bCs/>
          <w:sz w:val="22"/>
          <w:szCs w:val="22"/>
        </w:rPr>
        <w:t xml:space="preserve">Open commercial item: which of these applies.</w:t>
      </w:r>
      <w:r>
        <w:rPr>
          <w:rFonts w:ascii="Calibri" w:cs="Calibri" w:eastAsia="Calibri" w:hAnsi="Calibri"/>
          <w:sz w:val="22"/>
          <w:szCs w:val="22"/>
        </w:rPr>
        <w:t xml:space="preserve"> Default if not closed: Automatum bears the shortfall, as Schedule 2 paragraph 3 states.</w:t>
      </w:r>
    </w:p>
    <w:p>
      <w:pPr>
        <w:spacing w:after="160" w:before="0" w:line="276"/>
        <w:jc w:val="both"/>
      </w:pPr>
      <w:r>
        <w:rPr>
          <w:rFonts w:ascii="Calibri" w:cs="Calibri" w:eastAsia="Calibri" w:hAnsi="Calibri"/>
          <w:b/>
          <w:bCs/>
          <w:sz w:val="22"/>
          <w:szCs w:val="22"/>
        </w:rPr>
        <w:t xml:space="preserve">3.3 Tier 1 cost to serve.</w:t>
      </w:r>
      <w:r>
        <w:rPr>
          <w:rFonts w:ascii="Calibri" w:cs="Calibri" w:eastAsia="Calibri" w:hAnsi="Calibri"/>
          <w:sz w:val="22"/>
          <w:szCs w:val="22"/>
        </w:rPr>
        <w:t xml:space="preserve"> The feasibility study records that PSR licensing was "stress-tested against the lowest tier" but records nothing about labour. At Tier 1 the OBP Service Revenue of $20,001 per Engagement Year funds a named Channel Manager, a named Backup, a deal desk answering by close of the next Business Day, two training sessions, four Channel Reviews, up to six partner recruitments and the PSR licence. </w:t>
      </w:r>
      <w:r>
        <w:rPr>
          <w:rFonts w:ascii="Calibri" w:cs="Calibri" w:eastAsia="Calibri" w:hAnsi="Calibri"/>
          <w:b/>
          <w:bCs/>
          <w:sz w:val="22"/>
          <w:szCs w:val="22"/>
        </w:rPr>
        <w:t xml:space="preserve">Open commercial item: whether Tier 1 is viable at that price.</w:t>
      </w:r>
      <w:r>
        <w:rPr>
          <w:rFonts w:ascii="Calibri" w:cs="Calibri" w:eastAsia="Calibri" w:hAnsi="Calibri"/>
          <w:sz w:val="22"/>
          <w:szCs w:val="22"/>
        </w:rPr>
        <w:t xml:space="preserve"> This Agreement does not resolve it and neither Party has warranted that it is.</w:t>
      </w:r>
    </w:p>
    <w:p>
      <w:pPr>
        <w:spacing w:after="160" w:before="0" w:line="276"/>
        <w:jc w:val="both"/>
      </w:pPr>
      <w:r>
        <w:rPr>
          <w:rFonts w:ascii="Calibri" w:cs="Calibri" w:eastAsia="Calibri" w:hAnsi="Calibri"/>
          <w:b/>
          <w:bCs/>
          <w:sz w:val="22"/>
          <w:szCs w:val="22"/>
        </w:rPr>
        <w:t xml:space="preserve">3.4 Automatum's margin as prime.</w:t>
      </w:r>
      <w:r>
        <w:rPr>
          <w:rFonts w:ascii="Calibri" w:cs="Calibri" w:eastAsia="Calibri" w:hAnsi="Calibri"/>
          <w:sz w:val="22"/>
          <w:szCs w:val="22"/>
        </w:rPr>
        <w:t xml:space="preserve"> At Tier 3 the Automatum Retention is 11.1% of gross, and Automatum carries client credit risk, service level liability, collection risk and the client relationship. </w:t>
      </w:r>
      <w:r>
        <w:rPr>
          <w:rFonts w:ascii="Calibri" w:cs="Calibri" w:eastAsia="Calibri" w:hAnsi="Calibri"/>
          <w:b/>
          <w:bCs/>
          <w:sz w:val="22"/>
          <w:szCs w:val="22"/>
        </w:rPr>
        <w:t xml:space="preserve">Open commercial item: whether the Retention is a margin or a pass-through of Automatum's own cost</w:t>
      </w:r>
      <w:r>
        <w:rPr>
          <w:rFonts w:ascii="Calibri" w:cs="Calibri" w:eastAsia="Calibri" w:hAnsi="Calibri"/>
          <w:sz w:val="22"/>
          <w:szCs w:val="22"/>
        </w:rPr>
        <w:t xml:space="preserve">, and whether a prime management fee should sit on top of it. The feasibility study does not say. This Agreement implements the study's figures as written.</w:t>
      </w:r>
    </w:p>
    <w:p>
      <w:pPr>
        <w:spacing w:after="160" w:before="0" w:line="276"/>
        <w:jc w:val="both"/>
      </w:pPr>
      <w:r>
        <w:rPr>
          <w:rFonts w:ascii="Calibri" w:cs="Calibri" w:eastAsia="Calibri" w:hAnsi="Calibri"/>
          <w:b/>
          <w:bCs/>
          <w:sz w:val="22"/>
          <w:szCs w:val="22"/>
        </w:rPr>
        <w:t xml:space="preserve">3.5 Stress testing at the wrong end.</w:t>
      </w:r>
      <w:r>
        <w:rPr>
          <w:rFonts w:ascii="Calibri" w:cs="Calibri" w:eastAsia="Calibri" w:hAnsi="Calibri"/>
          <w:sz w:val="22"/>
          <w:szCs w:val="22"/>
        </w:rPr>
        <w:t xml:space="preserve"> PSR licensing was stress-tested against Tier 1, the cheapest and most predictable case, while Tier 3 carries an uncapped roster. If the PSR is priced per partner or per seat, Tier 3 is where the model breaks. Schedule 5 Part A records this as a question to close, and Schedule 1 paragraph 4 provides the pass-through if the answer is unfavourable.</w:t>
      </w:r>
    </w:p>
    <w:p>
      <w:pPr>
        <w:spacing w:after="160" w:before="0" w:line="276"/>
        <w:jc w:val="both"/>
      </w:pPr>
      <w:r>
        <w:rPr>
          <w:rFonts w:ascii="Calibri" w:cs="Calibri" w:eastAsia="Calibri" w:hAnsi="Calibri"/>
          <w:b/>
          <w:bCs/>
          <w:sz w:val="22"/>
          <w:szCs w:val="22"/>
        </w:rPr>
        <w:t xml:space="preserve">3.6 AWS is not committed.</w:t>
      </w:r>
      <w:r>
        <w:rPr>
          <w:rFonts w:ascii="Calibri" w:cs="Calibri" w:eastAsia="Calibri" w:hAnsi="Calibri"/>
          <w:sz w:val="22"/>
          <w:szCs w:val="22"/>
        </w:rPr>
        <w:t xml:space="preserve"> The feasibility study's reference to five ACE opportunity submissions is recorded as a programme assumption only. It is not a commitment by AWS, by Automatum or by OBP, and clause 13.3 governs.</w:t>
      </w:r>
    </w:p>
    <w:p>
      <w:pPr>
        <w:spacing w:after="160" w:before="0" w:line="276"/>
        <w:jc w:val="both"/>
      </w:pPr>
      <w:r>
        <w:rPr>
          <w:rFonts w:ascii="Calibri" w:cs="Calibri" w:eastAsia="Calibri" w:hAnsi="Calibri"/>
          <w:b/>
          <w:bCs/>
          <w:sz w:val="22"/>
          <w:szCs w:val="22"/>
        </w:rPr>
        <w:t xml:space="preserve">3.7 Partner AWS prerequisites.</w:t>
      </w:r>
      <w:r>
        <w:rPr>
          <w:rFonts w:ascii="Calibri" w:cs="Calibri" w:eastAsia="Calibri" w:hAnsi="Calibri"/>
          <w:sz w:val="22"/>
          <w:szCs w:val="22"/>
        </w:rPr>
        <w:t xml:space="preserve"> Recruited Partner timelines depend on the partner completing AWS registration, tax, banking and service-linked role requirements, which is outside the control of either Party and of the Registered Client. Clause 8.3 and Schedule 1 paragraph 6 govern.</w:t>
      </w:r>
    </w:p>
    <w:p>
      <w:pPr>
        <w:pStyle w:val="Heading2"/>
        <w:keepNext/>
        <w:spacing w:after="140" w:before="300"/>
      </w:pPr>
      <w:r>
        <w:rPr>
          <w:rFonts w:ascii="Calibri" w:cs="Calibri" w:eastAsia="Calibri" w:hAnsi="Calibri"/>
          <w:b/>
          <w:bCs/>
          <w:sz w:val="24"/>
          <w:szCs w:val="24"/>
        </w:rPr>
        <w:t xml:space="preserve">4. Facts to supply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80"/>
        <w:gridCol w:w="780"/>
      </w:tblGrid>
      <w:tr>
        <w:trPr>
          <w:tblHeader/>
        </w:trPr>
        <w:tc>
          <w:tcPr>
            <w:tcW w:type="dxa" w:w="858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78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Both Parties' legal entity names, entity types, states of organization, registration numbers</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Principal addresses and notice addresses, including the address for legal notices under clause 26.5</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Signatory names and titles</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Effective Date</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Backup Channel Manager and Tier 3 Deal Desk Owner per Engagement</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Relationship managers and escalation executives (Schedule 7 paragraph 3)</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details and certifications (Schedule 5 Part A)</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Subprocessor list (Schedule 5 Part C paragraph 4)</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Rate card day rates (Schedule 2 paragraph 6)</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limits for each required cover</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AWS Marketplace listing identifier and seller of record entity</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The APN account under which OBP files partner-sourced opportunities under clause 5.11</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The BOX solution identifier under clause 13.4</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The tie-break where overlapping offerings are of equal tier, under clause 13.6</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80"/>
            <w:tcMar>
              <w:top w:type="dxa" w:w="60"/>
              <w:left w:type="dxa" w:w="108"/>
              <w:bottom w:type="dxa" w:w="60"/>
              <w:right w:type="dxa" w:w="108"/>
            </w:tcMar>
          </w:tcPr>
          <w:p>
            <w:pPr>
              <w:spacing w:after="0" w:before="0" w:line="240"/>
            </w:pPr>
            <w:r>
              <w:rPr>
                <w:rFonts w:ascii="Calibri" w:cs="Calibri" w:eastAsia="Calibri" w:hAnsi="Calibri"/>
                <w:sz w:val="19"/>
                <w:szCs w:val="19"/>
              </w:rPr>
              <w:t xml:space="preserve">Longstop date for the dependency in paragraph 2</w:t>
            </w:r>
          </w:p>
        </w:tc>
        <w:tc>
          <w:tcPr>
            <w:tcW w:type="dxa" w:w="78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Figures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tblHeader/>
        </w:trPr>
        <w:tc>
          <w:tcPr>
            <w:tcW w:type="dxa" w:w="299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36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Default if not confirmed at execution</w:t>
            </w:r>
          </w:p>
        </w:tc>
      </w:tr>
      <w:tr>
        <w:trPr>
          <w:tblHeader w:val="false"/>
        </w:trPr>
        <w:tc>
          <w:tcPr>
            <w:tcW w:type="dxa" w:w="2995"/>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per Tier (Schedule 5 Part A)</w:t>
            </w:r>
          </w:p>
        </w:tc>
        <w:tc>
          <w:tcPr>
            <w:tcW w:type="dxa" w:w="6365"/>
            <w:tcMar>
              <w:top w:type="dxa" w:w="60"/>
              <w:left w:type="dxa" w:w="108"/>
              <w:bottom w:type="dxa" w:w="60"/>
              <w:right w:type="dxa" w:w="108"/>
            </w:tcMar>
          </w:tcPr>
          <w:p>
            <w:pPr>
              <w:spacing w:after="0" w:before="0" w:line="240"/>
            </w:pPr>
            <w:r>
              <w:rPr>
                <w:rFonts w:ascii="Calibri" w:cs="Calibri" w:eastAsia="Calibri" w:hAnsi="Calibri"/>
                <w:sz w:val="19"/>
                <w:szCs w:val="19"/>
              </w:rPr>
              <w:t xml:space="preserve">Seats sufficient for the named personnel plus the Registered Client's nominated administrators and every Recruited Partner on the roster</w:t>
            </w:r>
          </w:p>
        </w:tc>
      </w:tr>
      <w:tr>
        <w:trPr>
          <w:tblHeader w:val="false"/>
        </w:trPr>
        <w:tc>
          <w:tcPr>
            <w:tcW w:type="dxa" w:w="2995"/>
            <w:tcMar>
              <w:top w:type="dxa" w:w="60"/>
              <w:left w:type="dxa" w:w="108"/>
              <w:bottom w:type="dxa" w:w="60"/>
              <w:right w:type="dxa" w:w="108"/>
            </w:tcMar>
          </w:tcPr>
          <w:p>
            <w:pPr>
              <w:spacing w:after="0" w:before="0" w:line="240"/>
            </w:pPr>
            <w:r>
              <w:rPr>
                <w:rFonts w:ascii="Calibri" w:cs="Calibri" w:eastAsia="Calibri" w:hAnsi="Calibri"/>
                <w:sz w:val="19"/>
                <w:szCs w:val="19"/>
              </w:rPr>
              <w:t xml:space="preserve">Named-owner committed hours per Tier (Schedule 7 paragraph 1)</w:t>
            </w:r>
          </w:p>
        </w:tc>
        <w:tc>
          <w:tcPr>
            <w:tcW w:type="dxa" w:w="6365"/>
            <w:tcMar>
              <w:top w:type="dxa" w:w="60"/>
              <w:left w:type="dxa" w:w="108"/>
              <w:bottom w:type="dxa" w:w="60"/>
              <w:right w:type="dxa" w:w="108"/>
            </w:tcMar>
          </w:tcPr>
          <w:p>
            <w:pPr>
              <w:spacing w:after="0" w:before="0" w:line="240"/>
            </w:pPr>
            <w:r>
              <w:rPr>
                <w:rFonts w:ascii="Calibri" w:cs="Calibri" w:eastAsia="Calibri" w:hAnsi="Calibri"/>
                <w:sz w:val="19"/>
                <w:szCs w:val="19"/>
              </w:rPr>
              <w:t xml:space="preserve">Hours sufficient to meet Schedule 4 for the Tier, with clause 9.7 continuing to bind</w:t>
            </w:r>
          </w:p>
        </w:tc>
      </w:tr>
      <w:tr>
        <w:trPr>
          <w:tblHeader w:val="false"/>
        </w:trPr>
        <w:tc>
          <w:tcPr>
            <w:tcW w:type="dxa" w:w="2995"/>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Deal Desk Owner coverage window</w:t>
            </w:r>
          </w:p>
        </w:tc>
        <w:tc>
          <w:tcPr>
            <w:tcW w:type="dxa" w:w="6365"/>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2995"/>
            <w:tcMar>
              <w:top w:type="dxa" w:w="60"/>
              <w:left w:type="dxa" w:w="108"/>
              <w:bottom w:type="dxa" w:w="60"/>
              <w:right w:type="dxa" w:w="108"/>
            </w:tcMar>
          </w:tcPr>
          <w:p>
            <w:pPr>
              <w:spacing w:after="0" w:before="0" w:line="240"/>
            </w:pPr>
            <w:r>
              <w:rPr>
                <w:rFonts w:ascii="Calibri" w:cs="Calibri" w:eastAsia="Calibri" w:hAnsi="Calibri"/>
                <w:sz w:val="19"/>
                <w:szCs w:val="19"/>
              </w:rPr>
              <w:t xml:space="preserve">Onboarding Throughput Rate and concurrent onboardings for Tier 3</w:t>
            </w:r>
          </w:p>
        </w:tc>
        <w:tc>
          <w:tcPr>
            <w:tcW w:type="dxa" w:w="6365"/>
            <w:tcMar>
              <w:top w:type="dxa" w:w="60"/>
              <w:left w:type="dxa" w:w="108"/>
              <w:bottom w:type="dxa" w:w="60"/>
              <w:right w:type="dxa" w:w="108"/>
            </w:tcMar>
          </w:tcPr>
          <w:p>
            <w:pPr>
              <w:spacing w:after="0" w:before="0" w:line="240"/>
            </w:pPr>
            <w:r>
              <w:rPr>
                <w:rFonts w:ascii="Calibri" w:cs="Calibri" w:eastAsia="Calibri" w:hAnsi="Calibri"/>
                <w:sz w:val="19"/>
                <w:szCs w:val="19"/>
              </w:rPr>
              <w:t xml:space="preserve">Four (4) onboardings per month and six (6) concurrent</w:t>
            </w:r>
          </w:p>
        </w:tc>
      </w:tr>
      <w:tr>
        <w:trPr>
          <w:tblHeader w:val="false"/>
        </w:trPr>
        <w:tc>
          <w:tcPr>
            <w:tcW w:type="dxa" w:w="2995"/>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Baseline Assumptions</w:t>
            </w:r>
          </w:p>
        </w:tc>
        <w:tc>
          <w:tcPr>
            <w:tcW w:type="dxa" w:w="6365"/>
            <w:tcMar>
              <w:top w:type="dxa" w:w="60"/>
              <w:left w:type="dxa" w:w="108"/>
              <w:bottom w:type="dxa" w:w="60"/>
              <w:right w:type="dxa" w:w="108"/>
            </w:tcMar>
          </w:tcPr>
          <w:p>
            <w:pPr>
              <w:spacing w:after="0" w:before="0" w:line="240"/>
            </w:pPr>
            <w:r>
              <w:rPr>
                <w:rFonts w:ascii="Calibri" w:cs="Calibri" w:eastAsia="Calibri" w:hAnsi="Calibri"/>
                <w:sz w:val="19"/>
                <w:szCs w:val="19"/>
              </w:rPr>
              <w:t xml:space="preserve">Thirty (30) active partners and four (4) onboardings per month</w:t>
            </w:r>
          </w:p>
        </w:tc>
      </w:tr>
      <w:tr>
        <w:trPr>
          <w:tblHeader w:val="false"/>
        </w:trPr>
        <w:tc>
          <w:tcPr>
            <w:tcW w:type="dxa" w:w="2995"/>
            <w:tcMar>
              <w:top w:type="dxa" w:w="60"/>
              <w:left w:type="dxa" w:w="108"/>
              <w:bottom w:type="dxa" w:w="60"/>
              <w:right w:type="dxa" w:w="108"/>
            </w:tcMar>
          </w:tcPr>
          <w:p>
            <w:pPr>
              <w:spacing w:after="0" w:before="0" w:line="240"/>
            </w:pPr>
            <w:r>
              <w:rPr>
                <w:rFonts w:ascii="Calibri" w:cs="Calibri" w:eastAsia="Calibri" w:hAnsi="Calibri"/>
                <w:sz w:val="19"/>
                <w:szCs w:val="19"/>
              </w:rPr>
              <w:t xml:space="preserve">PSR partner record threshold for cost pass-through</w:t>
            </w:r>
          </w:p>
        </w:tc>
        <w:tc>
          <w:tcPr>
            <w:tcW w:type="dxa" w:w="6365"/>
            <w:tcMar>
              <w:top w:type="dxa" w:w="60"/>
              <w:left w:type="dxa" w:w="108"/>
              <w:bottom w:type="dxa" w:w="60"/>
              <w:right w:type="dxa" w:w="108"/>
            </w:tcMar>
          </w:tcPr>
          <w:p>
            <w:pPr>
              <w:spacing w:after="0" w:before="0" w:line="240"/>
            </w:pPr>
            <w:r>
              <w:rPr>
                <w:rFonts w:ascii="Calibri" w:cs="Calibri" w:eastAsia="Calibri" w:hAnsi="Calibri"/>
                <w:sz w:val="19"/>
                <w:szCs w:val="19"/>
              </w:rPr>
              <w:t xml:space="preserve">The threshold in OBP's licence, failing which no pass-through applies</w:t>
            </w:r>
          </w:p>
        </w:tc>
      </w:tr>
      <w:tr>
        <w:trPr>
          <w:tblHeader w:val="false"/>
        </w:trPr>
        <w:tc>
          <w:tcPr>
            <w:tcW w:type="dxa" w:w="2995"/>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licence warranty (Tier 3)</w:t>
            </w:r>
          </w:p>
        </w:tc>
        <w:tc>
          <w:tcPr>
            <w:tcW w:type="dxa" w:w="6365"/>
            <w:tcMar>
              <w:top w:type="dxa" w:w="60"/>
              <w:left w:type="dxa" w:w="108"/>
              <w:bottom w:type="dxa" w:w="60"/>
              <w:right w:type="dxa" w:w="108"/>
            </w:tcMar>
          </w:tcPr>
          <w:p>
            <w:pPr>
              <w:spacing w:after="0" w:before="0" w:line="240"/>
            </w:pPr>
            <w:r>
              <w:rPr>
                <w:rFonts w:ascii="Calibri" w:cs="Calibri" w:eastAsia="Calibri" w:hAnsi="Calibri"/>
                <w:sz w:val="19"/>
                <w:szCs w:val="19"/>
              </w:rPr>
              <w:t xml:space="preserve">Not warranted, so the pass-through in Schedule 1 paragraph 4 applies</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6. Terms chosen as market defaults</w:t>
      </w:r>
    </w:p>
    <w:p>
      <w:pPr>
        <w:spacing w:after="160" w:before="0" w:line="276"/>
        <w:jc w:val="both"/>
      </w:pPr>
      <w:r>
        <w:rPr>
          <w:rFonts w:ascii="Calibri" w:cs="Calibri" w:eastAsia="Calibri" w:hAnsi="Calibri"/>
          <w:sz w:val="22"/>
          <w:szCs w:val="22"/>
        </w:rPr>
        <w:t xml:space="preserve">These numbers are not in the feasibility study. They are drafted as market-standard defaults and are flagged here so that they receive a deliberate decision rather than passing silently: the service credit caps in clause 8.5; the liability caps in clauses 21.3 and 21.4; the non-circumvention tail in clause 15.2 and the liquidated sums in clauses 15.6 and 15.7; the payment terms and longstop in clause 11.5; the Initial Term in clause 23.1; and the transition period in clause 24.1.</w:t>
      </w:r>
    </w:p>
    <w:p>
      <w:pPr>
        <w:pStyle w:val="Heading1"/>
        <w:pageBreakBefore/>
        <w:spacing w:after="200" w:before="240"/>
        <w:jc w:val="left"/>
      </w:pPr>
      <w:r>
        <w:rPr>
          <w:rFonts w:ascii="Calibri" w:cs="Calibri" w:eastAsia="Calibri" w:hAnsi="Calibri"/>
          <w:b/>
          <w:bCs/>
          <w:sz w:val="28"/>
          <w:szCs w:val="28"/>
        </w:rPr>
        <w:t xml:space="preserve">Schedule 9 - Execution</w:t>
      </w:r>
    </w:p>
    <w:p>
      <w:pPr>
        <w:spacing w:after="160" w:before="0" w:line="276"/>
        <w:jc w:val="both"/>
      </w:pPr>
      <w:r>
        <w:rPr>
          <w:rFonts w:ascii="Calibri" w:cs="Calibri" w:eastAsia="Calibri" w:hAnsi="Calibri"/>
          <w:sz w:val="22"/>
          <w:szCs w:val="22"/>
        </w:rPr>
        <w:t xml:space="preserve">The Parties have executed this Agreement as of the Effective Date.</w:t>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Automatum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Only Best Practices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8"/>
      </w:pBdr>
      <w:jc w:val="center"/>
    </w:pPr>
    <w:r>
      <w:rPr>
        <w:rFonts w:ascii="Calibri" w:cs="Calibri" w:eastAsia="Calibri" w:hAnsi="Calibri"/>
        <w:sz w:val="16"/>
        <w:szCs w:val="16"/>
      </w:rPr>
      <w:t xml:space="preserve">Page </w:t>
    </w:r>
    <w:r>
      <w:rPr>
        <w:rFonts w:ascii="Calibri" w:cs="Calibri" w:eastAsia="Calibri" w:hAnsi="Calibri"/>
        <w:sz w:val="16"/>
        <w:szCs w:val="16"/>
      </w:rPr>
      <w:fldChar w:fldCharType="begin"/>
      <w:instrText xml:space="preserve">PAGE</w:instrText>
      <w:fldChar w:fldCharType="separate"/>
      <w:fldChar w:fldCharType="end"/>
    </w:r>
    <w:r>
      <w:rPr>
        <w:rFonts w:ascii="Calibri" w:cs="Calibri" w:eastAsia="Calibri" w:hAnsi="Calibri"/>
        <w:sz w:val="16"/>
        <w:szCs w:val="16"/>
      </w:rPr>
      <w:t xml:space="preserve"> of </w:t>
    </w:r>
    <w:r>
      <w:rPr>
        <w:rFonts w:ascii="Calibri" w:cs="Calibri" w:eastAsia="Calibri" w:hAnsi="Calibri"/>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Label Delivery Agreement - Managed Partner Development</dc:title>
  <dc:creator>Automatum</dc:creator>
  <dc:description>Automatum x Only Best Practices white label delivery agreement</dc:description>
  <cp:lastModifiedBy>Un-named</cp:lastModifiedBy>
  <cp:revision>1</cp:revision>
  <dcterms:created xsi:type="dcterms:W3CDTF">2026-09-20T14:22:27.022Z</dcterms:created>
  <dcterms:modified xsi:type="dcterms:W3CDTF">2026-09-20T14:22:27.023Z</dcterms:modified>
</cp:coreProperties>
</file>

<file path=docProps/custom.xml><?xml version="1.0" encoding="utf-8"?>
<Properties xmlns="http://schemas.openxmlformats.org/officeDocument/2006/custom-properties" xmlns:vt="http://schemas.openxmlformats.org/officeDocument/2006/docPropsVTypes"/>
</file>