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Compilador local Word → reportes Oracle APEX</w:t>
      </w:r>
    </w:p>
    <w:p>
      <w:pPr>
        <w:spacing w:after="360"/>
        <w:jc w:val="center"/>
      </w:pPr>
      <w:r>
        <w:rPr>
          <w:rFonts w:ascii="Aptos" w:hAnsi="Aptos"/>
          <w:color w:val="4A5563"/>
          <w:sz w:val="22"/>
        </w:rPr>
        <w:t>Guía de inicio · Versión 1.0</w:t>
      </w:r>
    </w:p>
    <w:tbl>
      <w:tblPr>
        <w:tblW w:type="auto" w:w="0"/>
        <w:tblLayout w:type="autofit"/>
        <w:tblLook w:firstColumn="1" w:firstRow="1" w:lastColumn="0" w:lastRow="0" w:noHBand="0" w:noVBand="1" w:val="04A0"/>
      </w:tblPr>
      <w:tblGrid>
        <w:gridCol w:w="9972"/>
      </w:tblGrid>
      <w:tr>
        <w:tc>
          <w:tcPr>
            <w:tcW w:type="dxa" w:w="9972"/>
            <w:shd w:fill="283848"/>
          </w:tcPr>
          <w:p/>
        </w:tc>
      </w:tr>
    </w:tbl>
    <w:p/>
    <w:p>
      <w:r>
        <w:t xml:space="preserve">Este proyecto permite que Informática diseñe un reporte tabular en Microsoft Word, lo valide localmente y genere el bloque PL/SQL mínimo que Oracle APEX 24.2 necesita para descargar PDF o XLSX mediante </w:t>
      </w:r>
      <w:r>
        <w:rPr>
          <w:rFonts w:ascii="Consolas" w:hAnsi="Consolas"/>
          <w:color w:val="233648"/>
          <w:sz w:val="16"/>
        </w:rPr>
        <w:t>APEX_DATA_EXPORT</w:t>
      </w:r>
      <w:r>
        <w:t>.</w:t>
      </w:r>
    </w:p>
    <w:p>
      <w:r>
        <w:t xml:space="preserve">Word y Python se usan solamente en la computadora del desarrollador. En el servidor no se requieren Word, LibreOffice, Python, Docker ni un motor de impresión adicional. En Oracle se instala una sola vez </w:t>
      </w:r>
      <w:r>
        <w:rPr>
          <w:rFonts w:ascii="Consolas" w:hAnsi="Consolas"/>
          <w:color w:val="233648"/>
          <w:sz w:val="16"/>
        </w:rPr>
        <w:t>PKG_CORPORATE_REPORTS</w:t>
      </w:r>
      <w:r>
        <w:t>.</w:t>
      </w:r>
    </w:p>
    <w:p>
      <w:pPr>
        <w:pStyle w:val="Heading1"/>
        <w:keepNext/>
      </w:pPr>
      <w:r>
        <w:t>Alcance de la versión 1.0</w:t>
      </w:r>
    </w:p>
    <w:p>
      <w:pPr>
        <w:spacing w:after="60"/>
        <w:ind w:left="369" w:hanging="255"/>
      </w:pPr>
      <w:r>
        <w:t xml:space="preserve">• </w:t>
      </w:r>
      <w:r>
        <w:t xml:space="preserve">una consulta SQL </w:t>
      </w:r>
      <w:r>
        <w:rPr>
          <w:rFonts w:ascii="Consolas" w:hAnsi="Consolas"/>
          <w:color w:val="233648"/>
          <w:sz w:val="16"/>
        </w:rPr>
        <w:t>SELECT</w:t>
      </w:r>
      <w:r>
        <w:t xml:space="preserve"> o </w:t>
      </w:r>
      <w:r>
        <w:rPr>
          <w:rFonts w:ascii="Consolas" w:hAnsi="Consolas"/>
          <w:color w:val="233648"/>
          <w:sz w:val="16"/>
        </w:rPr>
        <w:t>WITH</w:t>
      </w:r>
      <w:r>
        <w:t xml:space="preserve"> por reporte;</w:t>
      </w:r>
    </w:p>
    <w:p>
      <w:pPr>
        <w:spacing w:after="60"/>
        <w:ind w:left="369" w:hanging="255"/>
      </w:pPr>
      <w:r>
        <w:t xml:space="preserve">• </w:t>
      </w:r>
      <w:r>
        <w:t>una plantilla DOCX A4 con un título, una tabla de dos filas y un pie;</w:t>
      </w:r>
    </w:p>
    <w:p>
      <w:pPr>
        <w:spacing w:after="60"/>
        <w:ind w:left="369" w:hanging="255"/>
      </w:pPr>
      <w:r>
        <w:t xml:space="preserve">• </w:t>
      </w:r>
      <w:r>
        <w:t>fila 1: encabezados literales;</w:t>
      </w:r>
    </w:p>
    <w:p>
      <w:pPr>
        <w:spacing w:after="60"/>
        <w:ind w:left="369" w:hanging="255"/>
      </w:pPr>
      <w:r>
        <w:t xml:space="preserve">• </w:t>
      </w:r>
      <w:r>
        <w:t xml:space="preserve">fila 2: un marcador </w:t>
      </w:r>
      <w:r>
        <w:rPr>
          <w:rFonts w:ascii="Consolas" w:hAnsi="Consolas"/>
          <w:color w:val="233648"/>
          <w:sz w:val="16"/>
        </w:rPr>
        <w:t>{{COLUMN:ALIAS}}</w:t>
      </w:r>
      <w:r>
        <w:t xml:space="preserve"> por celda;</w:t>
      </w:r>
    </w:p>
    <w:p>
      <w:pPr>
        <w:spacing w:after="60"/>
        <w:ind w:left="369" w:hanging="255"/>
      </w:pPr>
      <w:r>
        <w:t xml:space="preserve">• </w:t>
      </w:r>
      <w:r>
        <w:t xml:space="preserve">marcadores escalares </w:t>
      </w:r>
      <w:r>
        <w:rPr>
          <w:rFonts w:ascii="Consolas" w:hAnsi="Consolas"/>
          <w:color w:val="233648"/>
          <w:sz w:val="16"/>
        </w:rPr>
        <w:t>{{REPORT_TITLE}}</w:t>
      </w:r>
      <w:r>
        <w:t xml:space="preserve">, </w:t>
      </w:r>
      <w:r>
        <w:rPr>
          <w:rFonts w:ascii="Consolas" w:hAnsi="Consolas"/>
          <w:color w:val="233648"/>
          <w:sz w:val="16"/>
        </w:rPr>
        <w:t>{{APP_USER}}</w:t>
      </w:r>
      <w:r>
        <w:t xml:space="preserve">, </w:t>
      </w:r>
      <w:r>
        <w:rPr>
          <w:rFonts w:ascii="Consolas" w:hAnsi="Consolas"/>
          <w:color w:val="233648"/>
          <w:sz w:val="16"/>
        </w:rPr>
        <w:t>{{GENERATED_AT}}</w:t>
      </w:r>
      <w:r>
        <w:t xml:space="preserve"> y </w:t>
      </w:r>
      <w:r>
        <w:rPr>
          <w:rFonts w:ascii="Consolas" w:hAnsi="Consolas"/>
          <w:color w:val="233648"/>
          <w:sz w:val="16"/>
        </w:rPr>
        <w:t>{{FIELD:NOMBRE}}</w:t>
      </w:r>
      <w:r>
        <w:t>;</w:t>
      </w:r>
    </w:p>
    <w:p>
      <w:pPr>
        <w:spacing w:after="60"/>
        <w:ind w:left="369" w:hanging="255"/>
      </w:pPr>
      <w:r>
        <w:t xml:space="preserve">• </w:t>
      </w:r>
      <w:r>
        <w:t>bindings tipados a Page Items sin concatenar valores en el SQL;</w:t>
      </w:r>
    </w:p>
    <w:p>
      <w:pPr>
        <w:spacing w:after="60"/>
        <w:ind w:left="369" w:hanging="255"/>
      </w:pPr>
      <w:r>
        <w:t xml:space="preserve">• </w:t>
      </w:r>
      <w:r>
        <w:t xml:space="preserve">anchos </w:t>
      </w:r>
      <w:r>
        <w:rPr>
          <w:rFonts w:ascii="Consolas" w:hAnsi="Consolas"/>
          <w:color w:val="233648"/>
          <w:sz w:val="16"/>
        </w:rPr>
        <w:t>FIXED_PERCENT</w:t>
      </w:r>
      <w:r>
        <w:t xml:space="preserve">, </w:t>
      </w:r>
      <w:r>
        <w:rPr>
          <w:rFonts w:ascii="Consolas" w:hAnsi="Consolas"/>
          <w:color w:val="233648"/>
          <w:sz w:val="16"/>
        </w:rPr>
        <w:t>WEIGHT</w:t>
      </w:r>
      <w:r>
        <w:t xml:space="preserve"> y una columna </w:t>
      </w:r>
      <w:r>
        <w:rPr>
          <w:rFonts w:ascii="Consolas" w:hAnsi="Consolas"/>
          <w:color w:val="233648"/>
          <w:sz w:val="16"/>
        </w:rPr>
        <w:t>AUTO</w:t>
      </w:r>
      <w:r>
        <w:t>;</w:t>
      </w:r>
    </w:p>
    <w:p>
      <w:pPr>
        <w:spacing w:after="60"/>
        <w:ind w:left="369" w:hanging="255"/>
      </w:pPr>
      <w:r>
        <w:t xml:space="preserve">• </w:t>
      </w:r>
      <w:r>
        <w:t xml:space="preserve">orientación </w:t>
      </w:r>
      <w:r>
        <w:rPr>
          <w:rFonts w:ascii="Consolas" w:hAnsi="Consolas"/>
          <w:color w:val="233648"/>
          <w:sz w:val="16"/>
        </w:rPr>
        <w:t>AUTO</w:t>
      </w:r>
      <w:r>
        <w:t xml:space="preserve">, </w:t>
      </w:r>
      <w:r>
        <w:rPr>
          <w:rFonts w:ascii="Consolas" w:hAnsi="Consolas"/>
          <w:color w:val="233648"/>
          <w:sz w:val="16"/>
        </w:rPr>
        <w:t>PORTRAIT</w:t>
      </w:r>
      <w:r>
        <w:t xml:space="preserve"> o </w:t>
      </w:r>
      <w:r>
        <w:rPr>
          <w:rFonts w:ascii="Consolas" w:hAnsi="Consolas"/>
          <w:color w:val="233648"/>
          <w:sz w:val="16"/>
        </w:rPr>
        <w:t>LANDSCAPE</w:t>
      </w:r>
      <w:r>
        <w:t>;</w:t>
      </w:r>
    </w:p>
    <w:p>
      <w:pPr>
        <w:spacing w:after="60"/>
        <w:ind w:left="369" w:hanging="255"/>
      </w:pPr>
      <w:r>
        <w:t xml:space="preserve">• </w:t>
      </w:r>
      <w:r>
        <w:t>salida PDF o XLSX.</w:t>
      </w:r>
    </w:p>
    <w:p>
      <w:r>
        <w:t xml:space="preserve">El SQL debe devolver el texto que se desea imprimir. Para un LOV, use un </w:t>
      </w:r>
      <w:r>
        <w:rPr>
          <w:rFonts w:ascii="Consolas" w:hAnsi="Consolas"/>
          <w:color w:val="233648"/>
          <w:sz w:val="16"/>
        </w:rPr>
        <w:t>JOIN</w:t>
      </w:r>
      <w:r>
        <w:t xml:space="preserve"> y seleccione el </w:t>
      </w:r>
      <w:r>
        <w:rPr>
          <w:i/>
        </w:rPr>
        <w:t>display value</w:t>
      </w:r>
      <w:r>
        <w:t xml:space="preserve"> con el alias declarado en Word.</w:t>
      </w:r>
    </w:p>
    <w:p>
      <w:r>
        <w:t>La plantilla de referencia (</w:t>
      </w:r>
      <w:r>
        <w:rPr>
          <w:rFonts w:ascii="Consolas" w:hAnsi="Consolas"/>
          <w:color w:val="233648"/>
          <w:sz w:val="16"/>
        </w:rPr>
        <w:t>templates/</w:t>
      </w:r>
      <w:r>
        <w:t xml:space="preserve"> y </w:t>
      </w:r>
      <w:r>
        <w:rPr>
          <w:rFonts w:ascii="Consolas" w:hAnsi="Consolas"/>
          <w:color w:val="233648"/>
          <w:sz w:val="16"/>
        </w:rPr>
        <w:t>proyectos/demo/entidades/entidades.docx</w:t>
      </w:r>
      <w:r>
        <w:t>) usa los cinco tipos de marcador:</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{{REPORT_TITLE}}                  &lt;- título: párrafo previo a la tabla</w:t>
            </w:r>
            <w:r>
              <w:br/>
            </w:r>
            <w:r>
              <w:rPr>
                <w:rFonts w:ascii="Consolas" w:hAnsi="Consolas"/>
                <w:color w:val="233648"/>
                <w:sz w:val="16"/>
              </w:rPr>
              <w:t>Unidad: {{FIELD:UNIDAD}}          &lt;- campo escalar en la misma zona del título</w:t>
            </w:r>
            <w:r>
              <w:br/>
            </w:r>
            <w:r>
              <w:br/>
            </w:r>
            <w:r>
              <w:rPr>
                <w:rFonts w:ascii="Consolas" w:hAnsi="Consolas"/>
                <w:color w:val="233648"/>
                <w:sz w:val="16"/>
              </w:rPr>
              <w:t>DNI              Nombre completo   ...   &lt;- fila 1: etiquetas literales</w:t>
            </w:r>
            <w:r>
              <w:br/>
            </w:r>
            <w:r>
              <w:rPr>
                <w:rFonts w:ascii="Consolas" w:hAnsi="Consolas"/>
                <w:color w:val="233648"/>
                <w:sz w:val="16"/>
              </w:rPr>
              <w:t>{{COLUMN:VDNI}}  {{COLUMN:VNOM}}   ...   &lt;- fila 2: un alias SQL por celda</w:t>
            </w:r>
            <w:r>
              <w:br/>
            </w:r>
            <w:r>
              <w:br/>
            </w:r>
            <w:r>
              <w:rPr>
                <w:rFonts w:ascii="Consolas" w:hAnsi="Consolas"/>
                <w:color w:val="233648"/>
                <w:sz w:val="16"/>
              </w:rPr>
              <w:t>Usuario: {{APP_USER}} | Fecha: {{GENERATED_AT}}   &lt;- pie de página de Word</w:t>
            </w:r>
          </w:p>
        </w:tc>
      </w:tr>
    </w:tbl>
    <w:p>
      <w:pPr>
        <w:pStyle w:val="Heading1"/>
        <w:keepNext/>
      </w:pPr>
      <w:r>
        <w:t>Dos modos</w:t>
      </w:r>
    </w:p>
    <w:p>
      <w:pPr>
        <w:spacing w:after="60"/>
        <w:ind w:left="369" w:hanging="255"/>
      </w:pPr>
      <w:r>
        <w:t xml:space="preserve">• </w:t>
      </w:r>
      <w:r>
        <w:rPr>
          <w:b/>
        </w:rPr>
        <w:t>Modo simple</w:t>
      </w:r>
      <w:r>
        <w:t xml:space="preserve"> (</w:t>
      </w:r>
      <w:r>
        <w:rPr>
          <w:rFonts w:ascii="Consolas" w:hAnsi="Consolas"/>
          <w:color w:val="233648"/>
          <w:sz w:val="16"/>
        </w:rPr>
        <w:t>corporate-report-project/1.0</w:t>
      </w:r>
      <w:r>
        <w:t xml:space="preserve">): un título, una tabla y un pie, impresos con </w:t>
      </w:r>
      <w:r>
        <w:rPr>
          <w:rFonts w:ascii="Consolas" w:hAnsi="Consolas"/>
          <w:color w:val="233648"/>
          <w:sz w:val="16"/>
        </w:rPr>
        <w:t>APEX_DATA_EXPORT</w:t>
      </w:r>
      <w:r>
        <w:t>. También genera XLSX, que lleva solo la fila de títulos y los datos (sin título, usuario, fecha ni pie), listo para filtrar y analizar.</w:t>
      </w:r>
    </w:p>
    <w:p>
      <w:pPr>
        <w:spacing w:after="60"/>
        <w:ind w:left="369" w:hanging="255"/>
      </w:pPr>
      <w:r>
        <w:t xml:space="preserve">• </w:t>
      </w:r>
      <w:r>
        <w:rPr>
          <w:b/>
        </w:rPr>
        <w:t>Modo layout</w:t>
      </w:r>
      <w:r>
        <w:t xml:space="preserve"> (</w:t>
      </w:r>
      <w:r>
        <w:rPr>
          <w:rFonts w:ascii="Consolas" w:hAnsi="Consolas"/>
          <w:color w:val="233648"/>
          <w:sz w:val="16"/>
        </w:rPr>
        <w:t>corporate-layout-project/1.0</w:t>
      </w:r>
      <w:r>
        <w:t>): varias tablas, cuadrículas con bordes visibles, blancos o sin borde, totales y número de página, impresos por el motor PDF en PL/SQL (</w:t>
      </w:r>
      <w:r>
        <w:rPr>
          <w:rFonts w:ascii="Consolas" w:hAnsi="Consolas"/>
          <w:color w:val="233648"/>
          <w:sz w:val="16"/>
        </w:rPr>
        <w:t>sql/modo_layout</w:t>
      </w:r>
      <w:r>
        <w:t xml:space="preserve">). Una consulta por archivo, como el Data Model de Oracle Reports. Ejemplo ficticio: </w:t>
      </w:r>
      <w:r>
        <w:rPr>
          <w:rFonts w:ascii="Consolas" w:hAnsi="Consolas"/>
          <w:color w:val="233648"/>
          <w:sz w:val="16"/>
        </w:rPr>
        <w:t>proyectos/demo/estado_cuenta</w:t>
      </w:r>
      <w:r>
        <w:t>. Ver Manual de uso, sección 13.</w:t>
      </w:r>
    </w:p>
    <w:p>
      <w:pPr>
        <w:pStyle w:val="Heading1"/>
        <w:keepNext/>
      </w:pPr>
      <w:r>
        <w:t>Flujo de trabajo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Diseñar la plantilla Word</w:t>
            </w:r>
          </w:p>
          <w:p>
            <w:pPr>
              <w:keepNext/>
              <w:spacing w:after="0"/>
              <w:jc w:val="center"/>
            </w:pPr>
            <w:r>
              <w:rPr>
                <w:sz w:val="15"/>
              </w:rPr>
              <w:t>título, tabla de dos filas y pie con marcadores {{...}}</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Nuevo proyecto desde DOCX</w:t>
            </w:r>
          </w:p>
          <w:p>
            <w:pPr>
              <w:keepNext/>
              <w:spacing w:after="0"/>
              <w:jc w:val="center"/>
            </w:pPr>
            <w:r>
              <w:rPr>
                <w:sz w:val="15"/>
              </w:rPr>
              <w:t>copia el Word a proyectos\&lt;nombre&gt;\ y crea automáticamente generado\&lt;nombre&gt;.sql y .report.json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Ajustar SQL y proyecto</w:t>
            </w:r>
          </w:p>
          <w:p>
            <w:pPr>
              <w:keepNext/>
              <w:spacing w:after="0"/>
              <w:jc w:val="center"/>
            </w:pPr>
            <w:r>
              <w:rPr>
                <w:sz w:val="15"/>
              </w:rPr>
              <w:t>tablas reales, filtros y anchos; editables a mano en cualquier momento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Validar</w:t>
            </w:r>
          </w:p>
          <w:p>
            <w:pPr>
              <w:keepNext/>
              <w:spacing w:after="0"/>
              <w:jc w:val="center"/>
            </w:pPr>
            <w:r>
              <w:rPr>
                <w:sz w:val="15"/>
              </w:rPr>
              <w:t>revisa DOCX, SQL y proyecto sin escribir archivos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¿Sin errores?</w:t>
            </w:r>
          </w:p>
          <w:p>
            <w:pPr>
              <w:keepNext/>
              <w:spacing w:after="0"/>
              <w:jc w:val="center"/>
            </w:pPr>
            <w:r>
              <w:rPr>
                <w:sz w:val="15"/>
              </w:rPr>
              <w:t>No: corregir según el código de diagnóstico y validar otra vez</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Compilar</w:t>
            </w:r>
          </w:p>
          <w:p>
            <w:pPr>
              <w:keepNext/>
              <w:spacing w:after="0"/>
              <w:jc w:val="center"/>
            </w:pPr>
            <w:r>
              <w:rPr>
                <w:sz w:val="15"/>
              </w:rPr>
              <w:t>genera automáticamente apex_process.sql junto al DOCX, y template.json y validation.json en la carpeta generado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Pegar apex_process.sql en el proceso de descarga</w:t>
            </w:r>
          </w:p>
          <w:p>
            <w:pPr>
              <w:keepNext/>
              <w:spacing w:after="0"/>
              <w:jc w:val="center"/>
            </w:pPr>
            <w:r>
              <w:rPr>
                <w:sz w:val="15"/>
              </w:rPr>
              <w:t>el package se instala una sola vez por esquema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USUARIO FINAL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Descargar PDF o XLSX</w:t>
            </w:r>
          </w:p>
          <w:p>
            <w:pPr>
              <w:keepNext/>
              <w:spacing w:after="0"/>
              <w:jc w:val="center"/>
            </w:pPr>
            <w:r>
              <w:rPr>
                <w:sz w:val="15"/>
              </w:rPr>
              <w:t>APEX_DATA_EXPORT genera el archivo en el servidor</w:t>
            </w:r>
          </w:p>
        </w:tc>
      </w:tr>
    </w:tbl>
    <w:p>
      <w:pPr>
        <w:spacing w:before="60"/>
        <w:jc w:val="center"/>
      </w:pPr>
      <w:r>
        <w:rPr>
          <w:i/>
          <w:color w:val="4A5563"/>
          <w:sz w:val="16"/>
        </w:rPr>
        <w:t>Figura 1. Del Word a la descarga en APEX</w:t>
      </w:r>
    </w:p>
    <w:p>
      <w:r>
        <w:t xml:space="preserve">Cada vez que cambia la plantilla Word basta con volver a compilar: </w:t>
      </w:r>
      <w:r>
        <w:rPr>
          <w:rFonts w:ascii="Consolas" w:hAnsi="Consolas"/>
          <w:color w:val="233648"/>
          <w:sz w:val="16"/>
        </w:rPr>
        <w:t>template.json</w:t>
      </w:r>
      <w:r>
        <w:t xml:space="preserve"> y </w:t>
      </w:r>
      <w:r>
        <w:rPr>
          <w:rFonts w:ascii="Consolas" w:hAnsi="Consolas"/>
          <w:color w:val="233648"/>
          <w:sz w:val="16"/>
        </w:rPr>
        <w:t>apex_process.sql</w:t>
      </w:r>
      <w:r>
        <w:t xml:space="preserve"> se regeneran automáticamente a partir del DOCX, el SQL y el </w:t>
      </w:r>
      <w:r>
        <w:rPr>
          <w:rFonts w:ascii="Consolas" w:hAnsi="Consolas"/>
          <w:color w:val="233648"/>
          <w:sz w:val="16"/>
        </w:rPr>
        <w:t>.report.json</w:t>
      </w:r>
      <w:r>
        <w:t xml:space="preserve">. El </w:t>
      </w:r>
      <w:r>
        <w:rPr>
          <w:rFonts w:ascii="Consolas" w:hAnsi="Consolas"/>
          <w:color w:val="233648"/>
          <w:sz w:val="16"/>
        </w:rPr>
        <w:t>.report.json</w:t>
      </w:r>
      <w:r>
        <w:t xml:space="preserve"> y el </w:t>
      </w:r>
      <w:r>
        <w:rPr>
          <w:rFonts w:ascii="Consolas" w:hAnsi="Consolas"/>
          <w:color w:val="233648"/>
          <w:sz w:val="16"/>
        </w:rPr>
        <w:t>.sql</w:t>
      </w:r>
      <w:r>
        <w:t xml:space="preserve"> son archivos de texto que el usuario puede editar directamente en cualquier momento.</w:t>
      </w:r>
    </w:p>
    <w:p>
      <w:pPr>
        <w:pStyle w:val="Heading1"/>
        <w:keepNext/>
      </w:pPr>
      <w:r>
        <w:t>Inicio rápido en Windows</w:t>
      </w:r>
    </w:p>
    <w:p>
      <w:r>
        <w:t xml:space="preserve">Haga doble clic en </w:t>
      </w:r>
      <w:r>
        <w:rPr>
          <w:b/>
        </w:rPr>
        <w:t>Compilador de reportes APEX</w:t>
      </w:r>
      <w:r>
        <w:t xml:space="preserve"> (acceso directo de esta carpeta) o en </w:t>
      </w:r>
      <w:r>
        <w:rPr>
          <w:b/>
        </w:rPr>
        <w:t>Abrir compilador.bat</w:t>
      </w:r>
      <w:r>
        <w:t xml:space="preserve">. La primera vez prepara </w:t>
      </w:r>
      <w:r>
        <w:rPr>
          <w:rFonts w:ascii="Consolas" w:hAnsi="Consolas"/>
          <w:color w:val="233648"/>
          <w:sz w:val="16"/>
        </w:rPr>
        <w:t>.venv</w:t>
      </w:r>
      <w:r>
        <w:t xml:space="preserve"> automáticamente; requiere Python 3.12 o superior. El acceso directo sigue funcionando si la carpeta se mueve o se entrega comprimida.</w:t>
      </w:r>
    </w:p>
    <w:p>
      <w:r>
        <w:t>Instalación manual equivalente:</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py -3.13 -m venv .venv</w:t>
            </w:r>
            <w:r>
              <w:br/>
            </w:r>
            <w:r>
              <w:rPr>
                <w:rFonts w:ascii="Consolas" w:hAnsi="Consolas"/>
                <w:color w:val="233648"/>
                <w:sz w:val="16"/>
              </w:rPr>
              <w:t>.\.venv\Scripts\Activate.ps1</w:t>
            </w:r>
            <w:r>
              <w:br/>
            </w:r>
            <w:r>
              <w:rPr>
                <w:rFonts w:ascii="Consolas" w:hAnsi="Consolas"/>
                <w:color w:val="233648"/>
                <w:sz w:val="16"/>
              </w:rPr>
              <w:t>python -m pip install --upgrade pip</w:t>
            </w:r>
            <w:r>
              <w:br/>
            </w:r>
            <w:r>
              <w:rPr>
                <w:rFonts w:ascii="Consolas" w:hAnsi="Consolas"/>
                <w:color w:val="233648"/>
                <w:sz w:val="16"/>
              </w:rPr>
              <w:t>python -m pip install -e .</w:t>
            </w:r>
          </w:p>
        </w:tc>
      </w:tr>
    </w:tbl>
    <w:p>
      <w:r>
        <w:t>Validar el ejemplo sin escribir artefactos: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Revisa DOCX + SQL + proyecto; no escribe nada en disco</w:t>
            </w:r>
            <w:r>
              <w:br/>
            </w:r>
            <w:r>
              <w:rPr>
                <w:rFonts w:ascii="Consolas" w:hAnsi="Consolas"/>
                <w:color w:val="233648"/>
                <w:sz w:val="16"/>
              </w:rPr>
              <w:t>apex-report-compiler validate `</w:t>
            </w:r>
            <w:r>
              <w:br/>
            </w:r>
            <w:r>
              <w:rPr>
                <w:rFonts w:ascii="Consolas" w:hAnsi="Consolas"/>
                <w:color w:val="233648"/>
                <w:sz w:val="16"/>
              </w:rPr>
              <w:t xml:space="preserve">  --project .\proyectos\demo\entidades\generado\entidades.report.json</w:t>
            </w:r>
          </w:p>
        </w:tc>
      </w:tr>
    </w:tbl>
    <w:p>
      <w:r>
        <w:t>Compilarlo: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apex_process.sql -&gt; proyectos\demo\entidades\ ; template.json y validation.json -&gt; generado\</w:t>
            </w:r>
            <w:r>
              <w:br/>
            </w:r>
            <w:r>
              <w:rPr>
                <w:rFonts w:ascii="Consolas" w:hAnsi="Consolas"/>
                <w:color w:val="233648"/>
                <w:sz w:val="16"/>
              </w:rPr>
              <w:t>apex-report-compiler compile `</w:t>
            </w:r>
            <w:r>
              <w:br/>
            </w:r>
            <w:r>
              <w:rPr>
                <w:rFonts w:ascii="Consolas" w:hAnsi="Consolas"/>
                <w:color w:val="233648"/>
                <w:sz w:val="16"/>
              </w:rPr>
              <w:t xml:space="preserve">  --project .\proyectos\demo\entidades\generado\entidades.report.json</w:t>
            </w:r>
          </w:p>
        </w:tc>
      </w:tr>
    </w:tbl>
    <w:p>
      <w:r>
        <w:t xml:space="preserve">Cargar un Word propio (se copia a </w:t>
      </w:r>
      <w:r>
        <w:rPr>
          <w:rFonts w:ascii="Consolas" w:hAnsi="Consolas"/>
          <w:color w:val="233648"/>
          <w:sz w:val="16"/>
        </w:rPr>
        <w:t>proyectos\&lt;nombre&gt;\</w:t>
      </w:r>
      <w:r>
        <w:t>):</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Crea proyectos\ventas\ventas.docx y proyectos\ventas\generado\ventas.sql/.report.json</w:t>
            </w:r>
            <w:r>
              <w:br/>
            </w:r>
            <w:r>
              <w:rPr>
                <w:rFonts w:ascii="Consolas" w:hAnsi="Consolas"/>
                <w:color w:val="233648"/>
                <w:sz w:val="16"/>
              </w:rPr>
              <w:t>apex-report-compiler new --docx C:\Descargas\ventas.docx --page 42</w:t>
            </w:r>
          </w:p>
        </w:tc>
      </w:tr>
    </w:tbl>
    <w:p>
      <w:r>
        <w:t>Interfaz gráfica:</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Abre la ventana «Compilador de reportes APEX»</w:t>
            </w:r>
            <w:r>
              <w:br/>
            </w:r>
            <w:r>
              <w:rPr>
                <w:rFonts w:ascii="Consolas" w:hAnsi="Consolas"/>
                <w:color w:val="233648"/>
                <w:sz w:val="16"/>
              </w:rPr>
              <w:t>apex-report-compiler-gui</w:t>
            </w:r>
          </w:p>
        </w:tc>
      </w:tr>
    </w:tbl>
    <w:p>
      <w:r>
        <w:t xml:space="preserve">La interfaz puede crear un proyecto inicial desde un DOCX en </w:t>
      </w:r>
      <w:r>
        <w:rPr>
          <w:rFonts w:ascii="Consolas" w:hAnsi="Consolas"/>
          <w:color w:val="233648"/>
          <w:sz w:val="16"/>
        </w:rPr>
        <w:t>proyectos\&lt;nombre&gt;\</w:t>
      </w:r>
      <w:r>
        <w:t xml:space="preserve"> (Page Items </w:t>
      </w:r>
      <w:r>
        <w:rPr>
          <w:rFonts w:ascii="Consolas" w:hAnsi="Consolas"/>
          <w:color w:val="233648"/>
          <w:sz w:val="16"/>
        </w:rPr>
        <w:t>PXX_</w:t>
      </w:r>
      <w:r>
        <w:t xml:space="preserve"> mapeados a los marcadores del Word) y, al compilar, muestra exactamente qué archivo subir a APEX, dónde pegarlo y qué Page Items crear.</w:t>
      </w:r>
    </w:p>
    <w:p>
      <w:r>
        <w:t>También puede ejecutar la CLI sin instalar el paquete editable:</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Mismo comando validate usando el código de src\, sin instalar el paquete</w:t>
            </w:r>
            <w:r>
              <w:br/>
            </w:r>
            <w:r>
              <w:rPr>
                <w:rFonts w:ascii="Consolas" w:hAnsi="Consolas"/>
                <w:color w:val="233648"/>
                <w:sz w:val="16"/>
              </w:rPr>
              <w:t>python .\launch_compiler.py validate `</w:t>
            </w:r>
            <w:r>
              <w:br/>
            </w:r>
            <w:r>
              <w:rPr>
                <w:rFonts w:ascii="Consolas" w:hAnsi="Consolas"/>
                <w:color w:val="233648"/>
                <w:sz w:val="16"/>
              </w:rPr>
              <w:t xml:space="preserve">  --project .\proyectos\demo\entidades\generado\entidades.report.json</w:t>
            </w:r>
          </w:p>
        </w:tc>
      </w:tr>
    </w:tbl>
    <w:p>
      <w:pPr>
        <w:pStyle w:val="Heading1"/>
        <w:keepNext/>
      </w:pPr>
      <w:r>
        <w:t>Artefactos generados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proyectos\ventas\</w:t>
            </w:r>
            <w:r>
              <w:br/>
            </w:r>
            <w:r>
              <w:rPr>
                <w:rFonts w:ascii="Consolas" w:hAnsi="Consolas"/>
                <w:color w:val="233648"/>
                <w:sz w:val="16"/>
              </w:rPr>
              <w:t xml:space="preserve">  ventas.docx            &lt;- plantilla</w:t>
            </w:r>
            <w:r>
              <w:br/>
            </w:r>
            <w:r>
              <w:rPr>
                <w:rFonts w:ascii="Consolas" w:hAnsi="Consolas"/>
                <w:color w:val="233648"/>
                <w:sz w:val="16"/>
              </w:rPr>
              <w:t xml:space="preserve">  apex_process.sql       &lt;- proceso PL/SQL listo para revisar y copiar en APEX</w:t>
            </w:r>
            <w:r>
              <w:br/>
            </w:r>
            <w:r>
              <w:rPr>
                <w:rFonts w:ascii="Consolas" w:hAnsi="Consolas"/>
                <w:color w:val="233648"/>
                <w:sz w:val="16"/>
              </w:rPr>
              <w:t xml:space="preserve">  generado\</w:t>
            </w:r>
            <w:r>
              <w:br/>
            </w:r>
            <w:r>
              <w:rPr>
                <w:rFonts w:ascii="Consolas" w:hAnsi="Consolas"/>
                <w:color w:val="233648"/>
                <w:sz w:val="16"/>
              </w:rPr>
              <w:t xml:space="preserve">    ventas.sql           &lt;- consulta fuente (su texto queda dentro de apex_process.sql)</w:t>
            </w:r>
            <w:r>
              <w:br/>
            </w:r>
            <w:r>
              <w:rPr>
                <w:rFonts w:ascii="Consolas" w:hAnsi="Consolas"/>
                <w:color w:val="233648"/>
                <w:sz w:val="16"/>
              </w:rPr>
              <w:t xml:space="preserve">    ventas.report.json   &lt;- proyecto: binds, campos, anchos, estilos</w:t>
            </w:r>
            <w:r>
              <w:br/>
            </w:r>
            <w:r>
              <w:rPr>
                <w:rFonts w:ascii="Consolas" w:hAnsi="Consolas"/>
                <w:color w:val="233648"/>
                <w:sz w:val="16"/>
              </w:rPr>
              <w:t xml:space="preserve">    template.json        &lt;- interpretación canónica de la plantilla y configuración</w:t>
            </w:r>
            <w:r>
              <w:br/>
            </w:r>
            <w:r>
              <w:rPr>
                <w:rFonts w:ascii="Consolas" w:hAnsi="Consolas"/>
                <w:color w:val="233648"/>
                <w:sz w:val="16"/>
              </w:rPr>
              <w:t xml:space="preserve">    validation.json      &lt;- diagnósticos reproducibles</w:t>
            </w:r>
          </w:p>
        </w:tc>
      </w:tr>
    </w:tbl>
    <w:p>
      <w:r>
        <w:t xml:space="preserve">Los tres se generan automáticamente en cada compilación; no hay que escribirlos a mano. Pueden editarse directamente si hace falta, pero la siguiente compilación los reemplaza: los cambios permanentes se hacen en el DOCX, el </w:t>
      </w:r>
      <w:r>
        <w:rPr>
          <w:rFonts w:ascii="Consolas" w:hAnsi="Consolas"/>
          <w:color w:val="233648"/>
          <w:sz w:val="16"/>
        </w:rPr>
        <w:t>.sql</w:t>
      </w:r>
      <w:r>
        <w:t xml:space="preserve"> o el </w:t>
      </w:r>
      <w:r>
        <w:rPr>
          <w:rFonts w:ascii="Consolas" w:hAnsi="Consolas"/>
          <w:color w:val="233648"/>
          <w:sz w:val="16"/>
        </w:rPr>
        <w:t>.report.json</w:t>
      </w:r>
      <w:r>
        <w:t>.</w:t>
      </w:r>
    </w:p>
    <w:p>
      <w:r>
        <w:t>La compilación es transaccional: si la validación falla, se conserva intacta la última salida válida.</w:t>
      </w:r>
    </w:p>
    <w:p>
      <w:pPr>
        <w:pStyle w:val="Heading1"/>
        <w:keepNext/>
      </w:pPr>
      <w:r>
        <w:t>Instalación en Oracle APEX</w:t>
      </w:r>
    </w:p>
    <w:p>
      <w:pPr>
        <w:spacing w:after="60"/>
        <w:ind w:left="369" w:hanging="255"/>
      </w:pPr>
      <w:r>
        <w:t xml:space="preserve">1. </w:t>
      </w:r>
      <w:r>
        <w:t xml:space="preserve">Lea </w:t>
      </w:r>
      <w:r>
        <w:rPr>
          <w:rFonts w:ascii="Consolas" w:hAnsi="Consolas"/>
          <w:color w:val="233648"/>
          <w:sz w:val="16"/>
        </w:rPr>
        <w:t>sql/README.docx</w:t>
      </w:r>
      <w:r>
        <w:t>.</w:t>
      </w:r>
    </w:p>
    <w:p>
      <w:pPr>
        <w:spacing w:after="60"/>
        <w:ind w:left="369" w:hanging="255"/>
      </w:pPr>
      <w:r>
        <w:t xml:space="preserve">2. </w:t>
      </w:r>
      <w:r>
        <w:t xml:space="preserve">Instale </w:t>
      </w:r>
      <w:r>
        <w:rPr>
          <w:rFonts w:ascii="Consolas" w:hAnsi="Consolas"/>
          <w:color w:val="233648"/>
          <w:sz w:val="16"/>
        </w:rPr>
        <w:t>sql/modo_simple/pkg_corporate_reports.sql</w:t>
      </w:r>
      <w:r>
        <w:t xml:space="preserve"> en el </w:t>
      </w:r>
      <w:r>
        <w:rPr>
          <w:i/>
        </w:rPr>
        <w:t>parsing schema</w:t>
      </w:r>
      <w:r>
        <w:t>.</w:t>
      </w:r>
    </w:p>
    <w:p>
      <w:pPr>
        <w:spacing w:after="60"/>
        <w:ind w:left="369" w:hanging="255"/>
      </w:pPr>
      <w:r>
        <w:t xml:space="preserve">3. </w:t>
      </w:r>
      <w:r>
        <w:t xml:space="preserve">Confirme que el package y su body estén </w:t>
      </w:r>
      <w:r>
        <w:rPr>
          <w:rFonts w:ascii="Consolas" w:hAnsi="Consolas"/>
          <w:color w:val="233648"/>
          <w:sz w:val="16"/>
        </w:rPr>
        <w:t>VALID</w:t>
      </w:r>
      <w:r>
        <w:t>.</w:t>
      </w:r>
    </w:p>
    <w:p>
      <w:pPr>
        <w:spacing w:after="60"/>
        <w:ind w:left="369" w:hanging="255"/>
      </w:pPr>
      <w:r>
        <w:t xml:space="preserve">4. </w:t>
      </w:r>
      <w:r>
        <w:t>Compile localmente el proyecto del reporte.</w:t>
      </w:r>
    </w:p>
    <w:p>
      <w:pPr>
        <w:spacing w:after="60"/>
        <w:ind w:left="369" w:hanging="255"/>
      </w:pPr>
      <w:r>
        <w:t xml:space="preserve">5. </w:t>
      </w:r>
      <w:r>
        <w:t xml:space="preserve">Revise y copie </w:t>
      </w:r>
      <w:r>
        <w:rPr>
          <w:rFonts w:ascii="Consolas" w:hAnsi="Consolas"/>
          <w:color w:val="233648"/>
          <w:sz w:val="16"/>
        </w:rPr>
        <w:t>apex_process.sql</w:t>
      </w:r>
      <w:r>
        <w:t xml:space="preserve"> en un proceso de descarga de APEX.</w:t>
      </w:r>
    </w:p>
    <w:p>
      <w:pPr>
        <w:spacing w:after="60"/>
        <w:ind w:left="369" w:hanging="255"/>
      </w:pPr>
      <w:r>
        <w:t xml:space="preserve">6. </w:t>
      </w:r>
      <w:r>
        <w:t>Pruebe PDF/XLSX, seguridad, Page Items, límites y datos reales en APEX 24.2 antes de promover a producción.</w:t>
      </w:r>
    </w:p>
    <w:p>
      <w:r>
        <w:t xml:space="preserve">El proceso generado llama a la operación pública </w:t>
      </w:r>
      <w:r>
        <w:rPr>
          <w:rFonts w:ascii="Consolas" w:hAnsi="Consolas"/>
          <w:color w:val="233648"/>
          <w:sz w:val="16"/>
        </w:rPr>
        <w:t>PKG_CORPORATE_REPORTS.DOWNLOAD_QUERY</w:t>
      </w:r>
      <w:r>
        <w:t>.</w:t>
      </w:r>
    </w:p>
    <w:p>
      <w:pPr>
        <w:pStyle w:val="Heading1"/>
        <w:keepNext/>
      </w:pPr>
      <w:r>
        <w:t>Documentación</w:t>
      </w:r>
    </w:p>
    <w:p>
      <w:pPr>
        <w:spacing w:after="60"/>
        <w:ind w:left="369" w:hanging="255"/>
      </w:pPr>
      <w:r>
        <w:t xml:space="preserve">• </w:t>
      </w:r>
      <w:r>
        <w:rPr>
          <w:rFonts w:ascii="Consolas" w:hAnsi="Consolas"/>
          <w:color w:val="233648"/>
          <w:sz w:val="16"/>
        </w:rPr>
        <w:t>deliverables/Manual_de_uso.docx</w:t>
      </w:r>
      <w:r>
        <w:t>: guía completa para diseñadores y desarrolladores APEX.</w:t>
      </w:r>
    </w:p>
    <w:p>
      <w:pPr>
        <w:spacing w:after="60"/>
        <w:ind w:left="369" w:hanging="255"/>
      </w:pPr>
      <w:r>
        <w:t xml:space="preserve">• </w:t>
      </w:r>
      <w:r>
        <w:rPr>
          <w:rFonts w:ascii="Consolas" w:hAnsi="Consolas"/>
          <w:color w:val="233648"/>
          <w:sz w:val="16"/>
        </w:rPr>
        <w:t>deliverables/Informe_de_alcance_y_limitaciones.docx</w:t>
      </w:r>
      <w:r>
        <w:t>: alcance aprobado, arquitectura, seguridad y límites.</w:t>
      </w:r>
    </w:p>
    <w:p>
      <w:pPr>
        <w:spacing w:after="60"/>
        <w:ind w:left="369" w:hanging="255"/>
      </w:pPr>
      <w:r>
        <w:t xml:space="preserve">• </w:t>
      </w:r>
      <w:r>
        <w:rPr>
          <w:rFonts w:ascii="Consolas" w:hAnsi="Consolas"/>
          <w:color w:val="233648"/>
          <w:sz w:val="16"/>
        </w:rPr>
        <w:t>docs/CONTRACT.docx</w:t>
      </w:r>
      <w:r>
        <w:t>: contrato técnico normativo.</w:t>
      </w:r>
    </w:p>
    <w:p>
      <w:pPr>
        <w:spacing w:after="60"/>
        <w:ind w:left="369" w:hanging="255"/>
      </w:pPr>
      <w:r>
        <w:t xml:space="preserve">• </w:t>
      </w:r>
      <w:r>
        <w:rPr>
          <w:rFonts w:ascii="Consolas" w:hAnsi="Consolas"/>
          <w:color w:val="233648"/>
          <w:sz w:val="16"/>
        </w:rPr>
        <w:t>docs/TEMPLATE_QA.docx</w:t>
      </w:r>
      <w:r>
        <w:t>: control de calidad de las plantillas de referencia.</w:t>
      </w:r>
    </w:p>
    <w:p>
      <w:pPr>
        <w:spacing w:after="60"/>
        <w:ind w:left="369" w:hanging="255"/>
      </w:pPr>
      <w:r>
        <w:t xml:space="preserve">• </w:t>
      </w:r>
      <w:r>
        <w:rPr>
          <w:rFonts w:ascii="Consolas" w:hAnsi="Consolas"/>
          <w:color w:val="233648"/>
          <w:sz w:val="16"/>
        </w:rPr>
        <w:t>docs/RELEASE_REVIEW.docx</w:t>
      </w:r>
      <w:r>
        <w:t>: evidencia y veredicto de la revisión de liberación.</w:t>
      </w:r>
    </w:p>
    <w:p>
      <w:pPr>
        <w:spacing w:after="60"/>
        <w:ind w:left="369" w:hanging="255"/>
      </w:pPr>
      <w:r>
        <w:t xml:space="preserve">• </w:t>
      </w:r>
      <w:r>
        <w:rPr>
          <w:rFonts w:ascii="Consolas" w:hAnsi="Consolas"/>
          <w:color w:val="233648"/>
          <w:sz w:val="16"/>
        </w:rPr>
        <w:t>sql/README.docx</w:t>
      </w:r>
      <w:r>
        <w:t xml:space="preserve">: qué contiene </w:t>
      </w:r>
      <w:r>
        <w:rPr>
          <w:rFonts w:ascii="Consolas" w:hAnsi="Consolas"/>
          <w:color w:val="233648"/>
          <w:sz w:val="16"/>
        </w:rPr>
        <w:t>sql/</w:t>
      </w:r>
      <w:r>
        <w:t xml:space="preserve"> (los motores comunes de cada modo), instalación y seguridad.</w:t>
      </w:r>
    </w:p>
    <w:p>
      <w:pPr>
        <w:spacing w:after="60"/>
        <w:ind w:left="369" w:hanging="255"/>
      </w:pPr>
      <w:r>
        <w:t xml:space="preserve">• </w:t>
      </w:r>
      <w:r>
        <w:rPr>
          <w:rFonts w:ascii="Consolas" w:hAnsi="Consolas"/>
          <w:color w:val="233648"/>
          <w:sz w:val="16"/>
        </w:rPr>
        <w:t>proyectos/</w:t>
      </w:r>
      <w:r>
        <w:t xml:space="preserve">: una carpeta por reporte, con el mismo nombre que su DOCX. Junto al DOCX queda </w:t>
      </w:r>
      <w:r>
        <w:rPr>
          <w:rFonts w:ascii="Consolas" w:hAnsi="Consolas"/>
          <w:color w:val="233648"/>
          <w:sz w:val="16"/>
        </w:rPr>
        <w:t>apex_process.sql</w:t>
      </w:r>
      <w:r>
        <w:t xml:space="preserve"> (lo que se pega en APEX); el material de trabajo va en </w:t>
      </w:r>
      <w:r>
        <w:rPr>
          <w:rFonts w:ascii="Consolas" w:hAnsi="Consolas"/>
          <w:color w:val="233648"/>
          <w:sz w:val="16"/>
        </w:rPr>
        <w:t>generado/</w:t>
      </w:r>
      <w:r>
        <w:t xml:space="preserve">. Volver a cargar un DOCX con el mismo nombre reemplaza solo esos archivos, con copias </w:t>
      </w:r>
      <w:r>
        <w:rPr>
          <w:rFonts w:ascii="Consolas" w:hAnsi="Consolas"/>
          <w:color w:val="233648"/>
          <w:sz w:val="16"/>
        </w:rPr>
        <w:t>.bak</w:t>
      </w:r>
      <w:r>
        <w:t>; nada más se borra.</w:t>
      </w:r>
    </w:p>
    <w:p>
      <w:pPr>
        <w:spacing w:after="60"/>
        <w:ind w:left="369" w:hanging="255"/>
      </w:pPr>
      <w:r>
        <w:t xml:space="preserve">• </w:t>
      </w:r>
      <w:r>
        <w:rPr>
          <w:rFonts w:ascii="Consolas" w:hAnsi="Consolas"/>
          <w:color w:val="233648"/>
          <w:sz w:val="16"/>
        </w:rPr>
        <w:t>proyectos/demo/</w:t>
      </w:r>
      <w:r>
        <w:t xml:space="preserve">: proyectos de demostración ejecutables, uno por modo: </w:t>
      </w:r>
      <w:r>
        <w:rPr>
          <w:rFonts w:ascii="Consolas" w:hAnsi="Consolas"/>
          <w:color w:val="233648"/>
          <w:sz w:val="16"/>
        </w:rPr>
        <w:t>entidades</w:t>
      </w:r>
      <w:r>
        <w:t xml:space="preserve"> (modo simple, página 70) y </w:t>
      </w:r>
      <w:r>
        <w:rPr>
          <w:rFonts w:ascii="Consolas" w:hAnsi="Consolas"/>
          <w:color w:val="233648"/>
          <w:sz w:val="16"/>
        </w:rPr>
        <w:t>estado_cuenta</w:t>
      </w:r>
      <w:r>
        <w:t xml:space="preserve"> (modo layout, página 71). Su guía es </w:t>
      </w:r>
      <w:r>
        <w:rPr>
          <w:rFonts w:ascii="Consolas" w:hAnsi="Consolas"/>
          <w:color w:val="233648"/>
          <w:sz w:val="16"/>
        </w:rPr>
        <w:t>proyectos/demo/README.docx</w:t>
      </w:r>
      <w:r>
        <w:t>.</w:t>
      </w:r>
    </w:p>
    <w:p>
      <w:pPr>
        <w:spacing w:after="60"/>
        <w:ind w:left="369" w:hanging="255"/>
      </w:pPr>
      <w:r>
        <w:t xml:space="preserve">• </w:t>
      </w:r>
      <w:r>
        <w:rPr>
          <w:rFonts w:ascii="Consolas" w:hAnsi="Consolas"/>
          <w:color w:val="233648"/>
          <w:sz w:val="16"/>
        </w:rPr>
        <w:t>templates/</w:t>
      </w:r>
      <w:r>
        <w:t>: plantillas Word de referencia, vertical y horizontal.</w:t>
      </w:r>
    </w:p>
    <w:p>
      <w:pPr>
        <w:spacing w:after="60"/>
        <w:ind w:left="369" w:hanging="255"/>
      </w:pPr>
      <w:r>
        <w:t xml:space="preserve">• </w:t>
      </w:r>
      <w:r>
        <w:rPr>
          <w:rFonts w:ascii="Consolas" w:hAnsi="Consolas"/>
          <w:color w:val="233648"/>
          <w:sz w:val="16"/>
        </w:rPr>
        <w:t>tools/doc_sources/</w:t>
      </w:r>
      <w:r>
        <w:t xml:space="preserve">: fuentes de esta documentación; </w:t>
      </w:r>
      <w:r>
        <w:rPr>
          <w:rFonts w:ascii="Consolas" w:hAnsi="Consolas"/>
          <w:color w:val="233648"/>
          <w:sz w:val="16"/>
        </w:rPr>
        <w:t>python tools\build_documentation.py</w:t>
      </w:r>
      <w:r>
        <w:t xml:space="preserve"> regenera todos los Word.</w:t>
      </w:r>
    </w:p>
    <w:p>
      <w:pPr>
        <w:spacing w:after="60"/>
        <w:ind w:left="369" w:hanging="255"/>
      </w:pPr>
      <w:r>
        <w:t xml:space="preserve">• </w:t>
      </w:r>
      <w:r>
        <w:rPr>
          <w:rFonts w:ascii="Consolas" w:hAnsi="Consolas"/>
          <w:color w:val="233648"/>
          <w:sz w:val="16"/>
        </w:rPr>
        <w:t>tests/</w:t>
      </w:r>
      <w:r>
        <w:t>: pruebas automáticas del compilador y del contrato estático PL/SQL.</w:t>
      </w:r>
    </w:p>
    <w:p>
      <w:pPr>
        <w:pStyle w:val="Heading1"/>
        <w:keepNext/>
      </w:pPr>
      <w:r>
        <w:t>Límite de validación local</w:t>
      </w:r>
    </w:p>
    <w:p>
      <w:r>
        <w:t>La suite local verifica el compilador, la seguridad del DOCX, la generación determinista y el contrato estático del package. No reemplaza la compilación real contra las APIs instaladas de APEX ni una descarga PDF/XLSX en Oracle; esas pruebas finales deben realizarse en la aplicación APEX 24.2.</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5563"/>
        <w:sz w:val="15"/>
      </w:rPr>
      <w:t>Uso interno · Oracle APEX 24.2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3"/>
        <w:sz w:val="15"/>
      </w:rPr>
      <w:t>APEX WORD REPORT COMPILER  ·  DOCUMENTACIÓN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838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A55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A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838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Compilador local Word → reportes Oracle APEX</dc:title>
  <dc:subject>Guía de inicio · Versión 1.0</dc:subject>
  <dc:creator>Área de Informática</dc:creator>
  <cp:keywords>Oracle APEX, reportes, Word, APEX_DATA_EXPORT</cp:keywords>
  <dc:description>generated by python-docx</dc:description>
  <cp:lastModifiedBy/>
  <cp:revision>1</cp:revision>
  <dcterms:created xsi:type="dcterms:W3CDTF">2013-12-23T23:15:00Z</dcterms:created>
  <dcterms:modified xsi:type="dcterms:W3CDTF">2013-12-23T23:15:00Z</dcterms:modified>
  <cp:category/>
</cp:coreProperties>
</file>