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Objetos de base de datos</w:t>
      </w:r>
    </w:p>
    <w:p>
      <w:pPr>
        <w:spacing w:after="360"/>
        <w:jc w:val="center"/>
      </w:pPr>
      <w:r>
        <w:rPr>
          <w:rFonts w:ascii="Aptos" w:hAnsi="Aptos"/>
          <w:color w:val="4A5563"/>
          <w:sz w:val="22"/>
        </w:rPr>
        <w:t>Motores comunes del modo simple y del modo layout · Oracle APEX 24.2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83848"/>
          </w:tcPr>
          <w:p/>
        </w:tc>
      </w:tr>
    </w:tbl>
    <w:p/>
    <w:p>
      <w:pPr>
        <w:pStyle w:val="Heading1"/>
        <w:keepNext/>
      </w:pPr>
      <w:r>
        <w:t>Qué hay en esta carpeta</w:t>
      </w:r>
    </w:p>
    <w:p>
      <w:r>
        <w:t xml:space="preserve">La carpeta </w:t>
      </w:r>
      <w:r>
        <w:rPr>
          <w:rFonts w:ascii="Consolas" w:hAnsi="Consolas"/>
          <w:color w:val="233648"/>
          <w:sz w:val="16"/>
        </w:rPr>
        <w:t>sql</w:t>
      </w:r>
      <w:r>
        <w:t xml:space="preserve"> contiene solo los </w:t>
      </w:r>
      <w:r>
        <w:rPr>
          <w:b/>
        </w:rPr>
        <w:t>motores comunes</w:t>
      </w:r>
      <w:r>
        <w:t xml:space="preserve">: se instalan </w:t>
      </w:r>
      <w:r>
        <w:rPr>
          <w:b/>
        </w:rPr>
        <w:t>una vez por parsing schema</w:t>
      </w:r>
      <w:r>
        <w:t xml:space="preserve"> y los usan </w:t>
      </w:r>
      <w:r>
        <w:rPr>
          <w:b/>
        </w:rPr>
        <w:t>todos</w:t>
      </w:r>
      <w:r>
        <w:t xml:space="preserve"> los reportes de su modo. Nada de lo que hay aquí pertenece a una página concreta.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sql\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modo_simple\                 motor del modo simple (APEX_DATA_EXPORT)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install.sql                instalador para SQLcl o SQL*Plus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pkg_corporate_reports.sql  PKG_CORPORATE_REPORTS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modo_layout\                 motor del modo layout (PDF en PL/SQL)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install.sql                instalador para SQLcl o SQL*Plus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rpt_pdf.pks / rpt_pdf.pkb          RPT_PDF: dibuja el PDF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rpt_layout.pks / rpt_layout.pkb    RPT_LAYOUT: interpreta el layout del Word</w:t>
            </w:r>
          </w:p>
        </w:tc>
      </w:tr>
    </w:tbl>
    <w:p>
      <w:r>
        <w:t xml:space="preserve">Lo que pertenece a </w:t>
      </w:r>
      <w:r>
        <w:rPr>
          <w:b/>
        </w:rPr>
        <w:t>un solo reporte</w:t>
      </w:r>
      <w:r>
        <w:t xml:space="preserve"> vive en su carpeta </w:t>
      </w:r>
      <w:r>
        <w:rPr>
          <w:rFonts w:ascii="Consolas" w:hAnsi="Consolas"/>
          <w:color w:val="233648"/>
          <w:sz w:val="16"/>
        </w:rPr>
        <w:t>proyectos\&lt;nombre&gt;\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Qué es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Cuándo se instala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apex_process.sql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Código del proceso de descarga de la página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Se pega en APEX al publicar o recompilar el reporte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rpt_&lt;nombre&gt;.sql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Package del reporte (solo modo layout)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En SQL Workshop cada vez que se recompila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datos_prueba.sql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Tablas PRUEBAP_ de los ejemplos (solo entidades y estado_cuenta)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Una vez, solo en el ambiente de pruebas</w:t>
            </w:r>
          </w:p>
        </w:tc>
      </w:tr>
    </w:tbl>
    <w:p>
      <w:pPr>
        <w:spacing w:after="20"/>
      </w:pPr>
    </w:p>
    <w:p>
      <w:r>
        <w:t xml:space="preserve">Los archivos </w:t>
      </w:r>
      <w:r>
        <w:rPr>
          <w:rFonts w:ascii="Consolas" w:hAnsi="Consolas"/>
          <w:color w:val="233648"/>
          <w:sz w:val="16"/>
        </w:rPr>
        <w:t>.pks</w:t>
      </w:r>
      <w:r>
        <w:t xml:space="preserve"> y </w:t>
      </w:r>
      <w:r>
        <w:rPr>
          <w:rFonts w:ascii="Consolas" w:hAnsi="Consolas"/>
          <w:color w:val="233648"/>
          <w:sz w:val="16"/>
        </w:rPr>
        <w:t>.pkb</w:t>
      </w:r>
      <w:r>
        <w:t xml:space="preserve"> son las dos mitades de un package de Oracle: la especificación (lo que ofrece) y el cuerpo (el código). Se instala primero el </w:t>
      </w:r>
      <w:r>
        <w:rPr>
          <w:rFonts w:ascii="Consolas" w:hAnsi="Consolas"/>
          <w:color w:val="233648"/>
          <w:sz w:val="16"/>
        </w:rPr>
        <w:t>.pks</w:t>
      </w:r>
      <w:r>
        <w:t xml:space="preserve"> y después su </w:t>
      </w:r>
      <w:r>
        <w:rPr>
          <w:rFonts w:ascii="Consolas" w:hAnsi="Consolas"/>
          <w:color w:val="233648"/>
          <w:sz w:val="16"/>
        </w:rPr>
        <w:t>.pkb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UNA VEZ POR ESQUEMA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sql\modo_simple\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PKG_CORPORATE_REPORTS: lo usan todos los reportes del modo simple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UNA VEZ POR ESQUEMA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sql\modo_layout\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RPT_PDF y RPT_LAYOUT: los usan todos los reportes del modo layout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POR REPORTE (LAYOUT)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proyectos\&lt;nombre&gt;\rpt_&lt;nombre&gt;.sql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package con las consultas y el layout de ese reporte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POR REPORTE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proyectos\&lt;nombre&gt;\apex_process.sql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se pega en el proceso de descarga de su página</w:t>
            </w:r>
          </w:p>
        </w:tc>
      </w:tr>
    </w:tbl>
    <w:p>
      <w:pPr>
        <w:spacing w:before="60"/>
        <w:jc w:val="center"/>
      </w:pPr>
      <w:r>
        <w:rPr>
          <w:i/>
          <w:color w:val="4A5563"/>
          <w:sz w:val="16"/>
        </w:rPr>
        <w:t>Figura 1. Qué se instala una vez y qué por reporte</w:t>
      </w:r>
    </w:p>
    <w:p>
      <w:pPr>
        <w:pStyle w:val="Heading1"/>
        <w:keepNext/>
      </w:pPr>
      <w:r>
        <w:t>Modo simple: PKG_CORPORATE_REPORTS</w:t>
      </w:r>
    </w:p>
    <w:p>
      <w:pPr>
        <w:pStyle w:val="Heading2"/>
        <w:keepNext/>
      </w:pPr>
      <w:r>
        <w:t>Requisitos</w:t>
      </w:r>
    </w:p>
    <w:p>
      <w:pPr>
        <w:spacing w:after="60"/>
        <w:ind w:left="369" w:hanging="255"/>
      </w:pPr>
      <w:r>
        <w:t xml:space="preserve">• </w:t>
      </w:r>
      <w:r>
        <w:t>Oracle APEX 24.2.</w:t>
      </w:r>
    </w:p>
    <w:p>
      <w:pPr>
        <w:spacing w:after="60"/>
        <w:ind w:left="369" w:hanging="255"/>
      </w:pPr>
      <w:r>
        <w:t xml:space="preserve">• </w:t>
      </w:r>
      <w:r>
        <w:t xml:space="preserve">Una aplicación con impresión nativa disponible mediante </w:t>
      </w:r>
      <w:r>
        <w:rPr>
          <w:rFonts w:ascii="Consolas" w:hAnsi="Consolas"/>
          <w:color w:val="233648"/>
          <w:sz w:val="16"/>
        </w:rPr>
        <w:t>APEX_DATA_EXPORT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t xml:space="preserve">Acceso al </w:t>
      </w:r>
      <w:r>
        <w:rPr>
          <w:i/>
        </w:rPr>
        <w:t>parsing schema</w:t>
      </w:r>
      <w:r>
        <w:t xml:space="preserve"> de la aplicación para crear un package.</w:t>
      </w:r>
    </w:p>
    <w:p>
      <w:pPr>
        <w:spacing w:after="60"/>
        <w:ind w:left="369" w:hanging="255"/>
      </w:pPr>
      <w:r>
        <w:t xml:space="preserve">• </w:t>
      </w:r>
      <w:r>
        <w:t>Privilegios directos de lectura sobre los objetos consultados. No dependa de privilegios recibidos mediante roles para el código almacenado.</w:t>
      </w:r>
    </w:p>
    <w:p>
      <w:r>
        <w:t>No se necesita Word, Python, LibreOffice ni un contenedor en el servidor. Esas herramientas solo intervienen localmente al compilar una plantilla.</w:t>
      </w:r>
    </w:p>
    <w:p>
      <w:pPr>
        <w:pStyle w:val="Heading2"/>
        <w:keepNext/>
      </w:pPr>
      <w:r>
        <w:t>Instalación con SQLcl o SQL*Plus</w:t>
      </w:r>
    </w:p>
    <w:p>
      <w:r>
        <w:t xml:space="preserve">Conéctese como el </w:t>
      </w:r>
      <w:r>
        <w:rPr>
          <w:i/>
        </w:rPr>
        <w:t>parsing schema</w:t>
      </w:r>
      <w:r>
        <w:t>, cambie a esta carpeta y ejecute: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-- Ejemplo con SQLcl, conectado como el parsing schema de la aplicación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sql APP_SCHEMA@//servidor:1521/servicio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cd sql/modo_simple           -- carpeta del motor del modo simple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@install.sql                 -- crea package y body, verifica USER_ERRORS y VALID</w:t>
            </w:r>
          </w:p>
        </w:tc>
      </w:tr>
    </w:tbl>
    <w:p>
      <w:r>
        <w:t xml:space="preserve">El instalador detiene la ejecución ante un error, consulta </w:t>
      </w:r>
      <w:r>
        <w:rPr>
          <w:rFonts w:ascii="Consolas" w:hAnsi="Consolas"/>
          <w:color w:val="233648"/>
          <w:sz w:val="16"/>
        </w:rPr>
        <w:t>USER_ERRORS</w:t>
      </w:r>
      <w:r>
        <w:t xml:space="preserve"> y exige que el package y su body figuren como </w:t>
      </w:r>
      <w:r>
        <w:rPr>
          <w:rFonts w:ascii="Consolas" w:hAnsi="Consolas"/>
          <w:color w:val="233648"/>
          <w:sz w:val="16"/>
        </w:rPr>
        <w:t>VALID</w:t>
      </w:r>
      <w:r>
        <w:t xml:space="preserve"> en </w:t>
      </w:r>
      <w:r>
        <w:rPr>
          <w:rFonts w:ascii="Consolas" w:hAnsi="Consolas"/>
          <w:color w:val="233648"/>
          <w:sz w:val="16"/>
        </w:rPr>
        <w:t>USER_OBJECTS</w:t>
      </w:r>
      <w:r>
        <w:t>, para evitar aceptar silenciosamente un package inválido. Al iniciar muestra la versión del compilador con la que se distribuye (1.0.0); el package no expone su versión en ejecución, así que reinstálelo cuando cambie este archivo.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DBA / INFORMÁTICA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Conectarse como el parsing schema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nunca como SYS ni con un usuario distinto del de la aplicación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B7791F"/>
                <w:sz w:val="14"/>
              </w:rPr>
              <w:t>INSTALACIÓN</w:t>
            </w:r>
          </w:p>
        </w:tc>
        <w:tc>
          <w:tcPr>
            <w:tcW w:type="dxa" w:w="6350"/>
            <w:vAlign w:val="center"/>
            <w:shd w:fill="FDF3E1"/>
            <w:tcBorders>
              <w:top w:val="dashed" w:sz="10" w:space="0" w:color="B7791F"/>
              <w:left w:val="dashed" w:sz="10" w:space="0" w:color="B7791F"/>
              <w:bottom w:val="dashed" w:sz="10" w:space="0" w:color="B7791F"/>
              <w:right w:val="dashed" w:sz="10" w:space="0" w:color="B7791F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B7791F"/>
                <w:sz w:val="17"/>
              </w:rPr>
              <w:t>◆ ¿Se dispone de SQLcl o SQL*Plus?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No: SQL Workshop &gt; SQL Scripts y ejecutar pkg_corporate_reports.sql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  <w:r>
              <w:rPr>
                <w:b/>
                <w:color w:val="B7791F"/>
                <w:sz w:val="15"/>
              </w:rPr>
              <w:t xml:space="preserve">  Sí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INSTALACIÓN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Ejecutar @install.sql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CREATE OR REPLACE PACKAGE y PACKAGE BODY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B7791F"/>
                <w:sz w:val="14"/>
              </w:rPr>
              <w:t>VERIFICACIÓN</w:t>
            </w:r>
          </w:p>
        </w:tc>
        <w:tc>
          <w:tcPr>
            <w:tcW w:type="dxa" w:w="6350"/>
            <w:vAlign w:val="center"/>
            <w:shd w:fill="FDF3E1"/>
            <w:tcBorders>
              <w:top w:val="dashed" w:sz="10" w:space="0" w:color="B7791F"/>
              <w:left w:val="dashed" w:sz="10" w:space="0" w:color="B7791F"/>
              <w:bottom w:val="dashed" w:sz="10" w:space="0" w:color="B7791F"/>
              <w:right w:val="dashed" w:sz="10" w:space="0" w:color="B7791F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B7791F"/>
                <w:sz w:val="17"/>
              </w:rPr>
              <w:t>◆ ¿Package y body VALID, sin filas en USER_ERRORS?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No: revisar privilegios directos y la versión de APEX; reinstalar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  <w:r>
              <w:rPr>
                <w:b/>
                <w:color w:val="B7791F"/>
                <w:sz w:val="15"/>
              </w:rPr>
              <w:t xml:space="preserve">  Sí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SEGURIDAD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Mantener AUTHID CURRENT_USER y no conceder EXECUTE a PUBLIC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una sola instalación sirve a todos los reportes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APEX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Pegar en cada página el apex_process.sql generado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se genera automáticamente al compilar cada reporte</w:t>
            </w:r>
          </w:p>
        </w:tc>
      </w:tr>
    </w:tbl>
    <w:p>
      <w:pPr>
        <w:spacing w:before="60"/>
        <w:jc w:val="center"/>
      </w:pPr>
      <w:r>
        <w:rPr>
          <w:i/>
          <w:color w:val="4A5563"/>
          <w:sz w:val="16"/>
        </w:rPr>
        <w:t>Figura 2. Instalación y verificación de PKG_CORPORATE_REPORTS</w:t>
      </w:r>
    </w:p>
    <w:p>
      <w:pPr>
        <w:pStyle w:val="Heading2"/>
        <w:keepNext/>
      </w:pPr>
      <w:r>
        <w:t>Instalación desde SQL Workshop</w:t>
      </w:r>
    </w:p>
    <w:p>
      <w:r>
        <w:rPr>
          <w:rFonts w:ascii="Consolas" w:hAnsi="Consolas"/>
          <w:color w:val="233648"/>
          <w:sz w:val="16"/>
        </w:rPr>
        <w:t>install.sql</w:t>
      </w:r>
      <w:r>
        <w:t xml:space="preserve"> usa la directiva </w:t>
      </w:r>
      <w:r>
        <w:rPr>
          <w:rFonts w:ascii="Consolas" w:hAnsi="Consolas"/>
          <w:color w:val="233648"/>
          <w:sz w:val="16"/>
        </w:rPr>
        <w:t>@@</w:t>
      </w:r>
      <w:r>
        <w:t>, propia de SQLcl/SQL*Plus. En SQL Workshop:</w:t>
      </w:r>
    </w:p>
    <w:p>
      <w:pPr>
        <w:spacing w:after="60"/>
        <w:ind w:left="369" w:hanging="255"/>
      </w:pPr>
      <w:r>
        <w:t xml:space="preserve">1. </w:t>
      </w:r>
      <w:r>
        <w:t xml:space="preserve">abra </w:t>
      </w:r>
      <w:r>
        <w:rPr>
          <w:b/>
        </w:rPr>
        <w:t>SQL Workshop &gt; SQL Scripts</w:t>
      </w:r>
      <w:r>
        <w:t>;</w:t>
      </w:r>
    </w:p>
    <w:p>
      <w:pPr>
        <w:spacing w:after="60"/>
        <w:ind w:left="369" w:hanging="255"/>
      </w:pPr>
      <w:r>
        <w:t xml:space="preserve">2. </w:t>
      </w:r>
      <w:r>
        <w:t xml:space="preserve">cargue </w:t>
      </w:r>
      <w:r>
        <w:rPr>
          <w:rFonts w:ascii="Consolas" w:hAnsi="Consolas"/>
          <w:color w:val="233648"/>
          <w:sz w:val="16"/>
        </w:rPr>
        <w:t>pkg_corporate_reports.sql</w:t>
      </w:r>
      <w:r>
        <w:t>;</w:t>
      </w:r>
    </w:p>
    <w:p>
      <w:pPr>
        <w:spacing w:after="60"/>
        <w:ind w:left="369" w:hanging="255"/>
      </w:pPr>
      <w:r>
        <w:t xml:space="preserve">3. </w:t>
      </w:r>
      <w:r>
        <w:t>ejecute el script completo;</w:t>
      </w:r>
    </w:p>
    <w:p>
      <w:pPr>
        <w:spacing w:after="60"/>
        <w:ind w:left="369" w:hanging="255"/>
      </w:pPr>
      <w:r>
        <w:t xml:space="preserve">4. </w:t>
      </w:r>
      <w:r>
        <w:t xml:space="preserve">confirme que tanto el package como su body figuren como </w:t>
      </w:r>
      <w:r>
        <w:rPr>
          <w:rFonts w:ascii="Consolas" w:hAnsi="Consolas"/>
          <w:color w:val="233648"/>
          <w:sz w:val="16"/>
        </w:rPr>
        <w:t>VALID</w:t>
      </w:r>
      <w:r>
        <w:t>;</w:t>
      </w:r>
    </w:p>
    <w:p>
      <w:pPr>
        <w:spacing w:after="60"/>
        <w:ind w:left="369" w:hanging="255"/>
      </w:pPr>
      <w:r>
        <w:t xml:space="preserve">5. </w:t>
      </w:r>
      <w:r>
        <w:t>revise los errores con: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-- Errores de compilación: no debe devolver filas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select type, line, position, text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from user_errors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where name = 'PKG_CORPORATE_REPORTS'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order by sequence;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-- Estado: deben aparecer PACKAGE y PACKAGE BODY con status VALID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select object_type, status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from user_objects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where object_name = 'PKG_CORPORATE_REPORTS';</w:t>
            </w:r>
          </w:p>
        </w:tc>
      </w:tr>
    </w:tbl>
    <w:p>
      <w:pPr>
        <w:pStyle w:val="Heading2"/>
        <w:keepNext/>
      </w:pPr>
      <w:r>
        <w:t>Controles de seguridad obligatorios</w:t>
      </w:r>
    </w:p>
    <w:p>
      <w:pPr>
        <w:spacing w:after="60"/>
        <w:ind w:left="369" w:hanging="255"/>
      </w:pPr>
      <w:r>
        <w:t xml:space="preserve">• </w:t>
      </w:r>
      <w:r>
        <w:t xml:space="preserve">El package usa </w:t>
      </w:r>
      <w:r>
        <w:rPr>
          <w:rFonts w:ascii="Consolas" w:hAnsi="Consolas"/>
          <w:color w:val="233648"/>
          <w:sz w:val="16"/>
        </w:rPr>
        <w:t>AUTHID CURRENT_USER</w:t>
      </w:r>
      <w:r>
        <w:t>; no lo cambie a derechos del definidor.</w:t>
      </w:r>
    </w:p>
    <w:p>
      <w:pPr>
        <w:spacing w:after="60"/>
        <w:ind w:left="369" w:hanging="255"/>
      </w:pPr>
      <w:r>
        <w:t xml:space="preserve">• </w:t>
      </w:r>
      <w:r>
        <w:t xml:space="preserve">No conceda </w:t>
      </w:r>
      <w:r>
        <w:rPr>
          <w:rFonts w:ascii="Consolas" w:hAnsi="Consolas"/>
          <w:color w:val="233648"/>
          <w:sz w:val="16"/>
        </w:rPr>
        <w:t>EXECUTE</w:t>
      </w:r>
      <w:r>
        <w:t xml:space="preserve"> sobre el package a </w:t>
      </w:r>
      <w:r>
        <w:rPr>
          <w:rFonts w:ascii="Consolas" w:hAnsi="Consolas"/>
          <w:color w:val="233648"/>
          <w:sz w:val="16"/>
        </w:rPr>
        <w:t>PUBLIC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p_sql_query</w:t>
      </w:r>
      <w:r>
        <w:t>, los JSON de columnas/estilos y los mapeos son configuración de Informática. Nunca los reciba desde un Page Item, URL, JavaScript o archivo aportado por un usuario final.</w:t>
      </w:r>
    </w:p>
    <w:p>
      <w:pPr>
        <w:spacing w:after="60"/>
        <w:ind w:left="369" w:hanging="255"/>
      </w:pPr>
      <w:r>
        <w:t xml:space="preserve">• </w:t>
      </w:r>
      <w:r>
        <w:t xml:space="preserve">Los valores variables deben llegar mediante </w:t>
      </w:r>
      <w:r>
        <w:rPr>
          <w:rFonts w:ascii="Consolas" w:hAnsi="Consolas"/>
          <w:color w:val="233648"/>
          <w:sz w:val="16"/>
        </w:rPr>
        <w:t>p_bindings_json</w:t>
      </w:r>
      <w:r>
        <w:t xml:space="preserve">; el package los añade con </w:t>
      </w:r>
      <w:r>
        <w:rPr>
          <w:rFonts w:ascii="Consolas" w:hAnsi="Consolas"/>
          <w:color w:val="233648"/>
          <w:sz w:val="16"/>
        </w:rPr>
        <w:t>APEX_EXEC.ADD_PARAMETER</w:t>
      </w:r>
      <w:r>
        <w:t xml:space="preserve">. No concatene valores de sesión en el SQL ni use la sustitución </w:t>
      </w:r>
      <w:r>
        <w:rPr>
          <w:rFonts w:ascii="Consolas" w:hAnsi="Consolas"/>
          <w:color w:val="233648"/>
          <w:sz w:val="16"/>
        </w:rPr>
        <w:t>&amp;ITEM.</w:t>
      </w:r>
      <w:r>
        <w:t xml:space="preserve">: el compilador la rechaza y emite cada </w:t>
      </w:r>
      <w:r>
        <w:rPr>
          <w:rFonts w:ascii="Consolas" w:hAnsi="Consolas"/>
          <w:color w:val="233648"/>
          <w:sz w:val="16"/>
        </w:rPr>
        <w:t>&amp;</w:t>
      </w:r>
      <w:r>
        <w:t xml:space="preserve"> como </w:t>
      </w:r>
      <w:r>
        <w:rPr>
          <w:rFonts w:ascii="Consolas" w:hAnsi="Consolas"/>
          <w:color w:val="233648"/>
          <w:sz w:val="16"/>
        </w:rPr>
        <w:t>chr(38)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t>Los nombres reservados de APEX (</w:t>
      </w:r>
      <w:r>
        <w:rPr>
          <w:rFonts w:ascii="Consolas" w:hAnsi="Consolas"/>
          <w:color w:val="233648"/>
          <w:sz w:val="16"/>
        </w:rPr>
        <w:t>APP_USER</w:t>
      </w:r>
      <w:r>
        <w:t xml:space="preserve">, </w:t>
      </w:r>
      <w:r>
        <w:rPr>
          <w:rFonts w:ascii="Consolas" w:hAnsi="Consolas"/>
          <w:color w:val="233648"/>
          <w:sz w:val="16"/>
        </w:rPr>
        <w:t>APP_ID</w:t>
      </w:r>
      <w:r>
        <w:t xml:space="preserve">, </w:t>
      </w:r>
      <w:r>
        <w:rPr>
          <w:rFonts w:ascii="Consolas" w:hAnsi="Consolas"/>
          <w:color w:val="233648"/>
          <w:sz w:val="16"/>
        </w:rPr>
        <w:t>REQUEST</w:t>
      </w:r>
      <w:r>
        <w:t xml:space="preserve">…) no pueden usarse como binds lógicos; el package los rechaza con -20173. Para filtrar por el usuario autenticado use </w:t>
      </w:r>
      <w:r>
        <w:rPr>
          <w:rFonts w:ascii="Consolas" w:hAnsi="Consolas"/>
          <w:color w:val="233648"/>
          <w:sz w:val="16"/>
        </w:rPr>
        <w:t>SYS_CONTEXT('APEX$SESSION', 'APP_USER')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t xml:space="preserve">La validación </w:t>
      </w:r>
      <w:r>
        <w:rPr>
          <w:rFonts w:ascii="Consolas" w:hAnsi="Consolas"/>
          <w:color w:val="233648"/>
          <w:sz w:val="16"/>
        </w:rPr>
        <w:t>SELECT/WITH</w:t>
      </w:r>
      <w:r>
        <w:t xml:space="preserve"> reduce errores, pero no convierte SQL arbitrario en una barrera de autorización. Una consulta </w:t>
      </w:r>
      <w:r>
        <w:rPr>
          <w:rFonts w:ascii="Consolas" w:hAnsi="Consolas"/>
          <w:color w:val="233648"/>
          <w:sz w:val="16"/>
        </w:rPr>
        <w:t>SELECT</w:t>
      </w:r>
      <w:r>
        <w:t xml:space="preserve"> puede invocar funciones de base de datos. Revise el SQL generado antes de instalarlo.</w:t>
      </w:r>
    </w:p>
    <w:p>
      <w:pPr>
        <w:spacing w:after="60"/>
        <w:ind w:left="369" w:hanging="255"/>
      </w:pPr>
      <w:r>
        <w:t xml:space="preserve">• </w:t>
      </w:r>
      <w:r>
        <w:t xml:space="preserve">Otorgue al </w:t>
      </w:r>
      <w:r>
        <w:rPr>
          <w:i/>
        </w:rPr>
        <w:t>parsing schema</w:t>
      </w:r>
      <w:r>
        <w:t xml:space="preserve"> solo los privilegios de lectura indispensables y use vistas controladas cuando el reporte abarque datos sensibles.</w:t>
      </w:r>
    </w:p>
    <w:p>
      <w:pPr>
        <w:spacing w:after="60"/>
        <w:ind w:left="369" w:hanging="255"/>
      </w:pPr>
      <w:r>
        <w:t xml:space="preserve">• </w:t>
      </w:r>
      <w:r>
        <w:t>El paquete no limita la cantidad de filas: exporta todo lo que devuelve la consulta. Revise los filtros de cada reporte antes de publicarlo.</w:t>
      </w:r>
    </w:p>
    <w:p>
      <w:pPr>
        <w:spacing w:after="60"/>
        <w:ind w:left="369" w:hanging="255"/>
      </w:pPr>
      <w:r>
        <w:t xml:space="preserve">• </w:t>
      </w:r>
      <w:r>
        <w:t>Mantenga el proceso de descarga protegido por la autorización de página o componente correspondiente.</w:t>
      </w:r>
    </w:p>
    <w:p>
      <w:pPr>
        <w:pStyle w:val="Heading2"/>
        <w:keepNext/>
      </w:pPr>
      <w:r>
        <w:t>API pública</w:t>
      </w:r>
    </w:p>
    <w:p>
      <w:r>
        <w:rPr>
          <w:rFonts w:ascii="Consolas" w:hAnsi="Consolas"/>
          <w:color w:val="233648"/>
          <w:sz w:val="16"/>
        </w:rPr>
        <w:t>DOWNLOAD_QUERY</w:t>
      </w:r>
      <w:r>
        <w:t xml:space="preserve"> ejecuta una única consulta declarativa con parámetros, columnas y estilos compilados desde Word. Es la operación que invoca el </w:t>
      </w:r>
      <w:r>
        <w:rPr>
          <w:rFonts w:ascii="Consolas" w:hAnsi="Consolas"/>
          <w:color w:val="233648"/>
          <w:sz w:val="16"/>
        </w:rPr>
        <w:t>apex_process.sql</w:t>
      </w:r>
      <w:r>
        <w:t xml:space="preserve"> que el compilador genera automáticamente para cada reporte; no hace falta escribir la llamada a mano. Extracto comentado de un proceso generado: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declare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l_sql clob := to_clob(q'~select ... where (:DNI is null or e.vdni = :DNI)~');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-- l_bindings_json, l_fields_json, l_columns_json, l_style_json, ...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-- se generan desde el .report.json y la plantilla Word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begin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pkg_corporate_reports.download_query(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    p_sql_query       =&gt; l_sql,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    p_bindings_json   =&gt; l_bindings_json,   -- :DNI &lt;- P42_DNI (VARCHAR2)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    p_header_template =&gt; q'~{{REPORT_TITLE}}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Unidad: {{FIELD:UNIDAD}}~',                     -- párrafo de título del Word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    p_footer_template =&gt; q'~Usuario: {{APP_USER}} | Fecha: {{GENERATED_AT}}~',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    p_format          =&gt; coalesce(:P0_REPORT_FORMAT, 'PDF'),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    ...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);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end;</w:t>
            </w:r>
          </w:p>
        </w:tc>
      </w:tr>
    </w:tbl>
    <w:p>
      <w:r>
        <w:rPr>
          <w:rFonts w:ascii="Consolas" w:hAnsi="Consolas"/>
          <w:color w:val="233648"/>
          <w:sz w:val="16"/>
        </w:rPr>
        <w:t>DOWNLOAD_QUERY</w:t>
      </w:r>
      <w:r>
        <w:t xml:space="preserve"> usa siempre papel </w:t>
      </w:r>
      <w:r>
        <w:rPr>
          <w:rFonts w:ascii="Consolas" w:hAnsi="Consolas"/>
          <w:color w:val="233648"/>
          <w:sz w:val="16"/>
        </w:rPr>
        <w:t>A4</w:t>
      </w:r>
      <w:r>
        <w:t xml:space="preserve"> y admite orientación </w:t>
      </w:r>
      <w:r>
        <w:rPr>
          <w:rFonts w:ascii="Consolas" w:hAnsi="Consolas"/>
          <w:color w:val="233648"/>
          <w:sz w:val="16"/>
        </w:rPr>
        <w:t>AUTO</w:t>
      </w:r>
      <w:r>
        <w:t xml:space="preserve">, </w:t>
      </w:r>
      <w:r>
        <w:rPr>
          <w:rFonts w:ascii="Consolas" w:hAnsi="Consolas"/>
          <w:color w:val="233648"/>
          <w:sz w:val="16"/>
        </w:rPr>
        <w:t>PORTRAIT</w:t>
      </w:r>
      <w:r>
        <w:t xml:space="preserve"> o </w:t>
      </w:r>
      <w:r>
        <w:rPr>
          <w:rFonts w:ascii="Consolas" w:hAnsi="Consolas"/>
          <w:color w:val="233648"/>
          <w:sz w:val="16"/>
        </w:rPr>
        <w:t>LANDSCAPE</w:t>
      </w:r>
      <w:r>
        <w:t xml:space="preserve">. Si existe una única columna </w:t>
      </w:r>
      <w:r>
        <w:rPr>
          <w:rFonts w:ascii="Consolas" w:hAnsi="Consolas"/>
          <w:color w:val="233648"/>
          <w:sz w:val="16"/>
        </w:rPr>
        <w:t>AUTO</w:t>
      </w:r>
      <w:r>
        <w:t>, el package aplica internamente una reserva heurística fija de 20 % al distribuir el ancho restante. El tamaño de papel y esa reserva no forman parte de la API pública.</w:t>
      </w:r>
    </w:p>
    <w:p>
      <w:pPr>
        <w:pStyle w:val="Heading2"/>
        <w:keepNext/>
      </w:pPr>
      <w:r>
        <w:t>Comprobaciones que requieren APEX</w:t>
      </w:r>
    </w:p>
    <w:p>
      <w:r>
        <w:t>La revisión local no puede compilar contra las especificaciones instaladas de APEX ni generar un PDF real. Antes de promover a producción, pruebe en APEX 24.2:</w:t>
      </w:r>
    </w:p>
    <w:p>
      <w:pPr>
        <w:spacing w:after="60"/>
        <w:ind w:left="369" w:hanging="255"/>
      </w:pPr>
      <w:r>
        <w:t xml:space="preserve">1. </w:t>
      </w:r>
      <w:r>
        <w:t xml:space="preserve">compilación del package y body sin filas en </w:t>
      </w:r>
      <w:r>
        <w:rPr>
          <w:rFonts w:ascii="Consolas" w:hAnsi="Consolas"/>
          <w:color w:val="233648"/>
          <w:sz w:val="16"/>
        </w:rPr>
        <w:t>USER_ERRORS</w:t>
      </w:r>
      <w:r>
        <w:t>;</w:t>
      </w:r>
    </w:p>
    <w:p>
      <w:pPr>
        <w:spacing w:after="60"/>
        <w:ind w:left="369" w:hanging="255"/>
      </w:pPr>
      <w:r>
        <w:t xml:space="preserve">2. </w:t>
      </w:r>
      <w:r>
        <w:t xml:space="preserve">descarga PDF y XLSX desde el proceso descrito en el Manual de uso, sección 9 (botón </w:t>
      </w:r>
      <w:r>
        <w:rPr>
          <w:i/>
        </w:rPr>
        <w:t>Submit Page</w:t>
      </w:r>
      <w:r>
        <w:t xml:space="preserve">, </w:t>
      </w:r>
      <w:r>
        <w:rPr>
          <w:i/>
        </w:rPr>
        <w:t>Reload on Submit: Always</w:t>
      </w:r>
      <w:r>
        <w:t xml:space="preserve"> y proceso en </w:t>
      </w:r>
      <w:r>
        <w:rPr>
          <w:i/>
        </w:rPr>
        <w:t>Processing</w:t>
      </w:r>
      <w:r>
        <w:t xml:space="preserve">), y desde un proceso </w:t>
      </w:r>
      <w:r>
        <w:rPr>
          <w:b/>
        </w:rPr>
        <w:t>Before Header</w:t>
      </w:r>
      <w:r>
        <w:t xml:space="preserve"> si la aplicación usa ese patrón;</w:t>
      </w:r>
    </w:p>
    <w:p>
      <w:pPr>
        <w:spacing w:after="60"/>
        <w:ind w:left="369" w:hanging="255"/>
      </w:pPr>
      <w:r>
        <w:t xml:space="preserve">3. </w:t>
      </w:r>
      <w:r>
        <w:t xml:space="preserve">Page Items </w:t>
      </w:r>
      <w:r>
        <w:rPr>
          <w:rFonts w:ascii="Consolas" w:hAnsi="Consolas"/>
          <w:color w:val="233648"/>
          <w:sz w:val="16"/>
        </w:rPr>
        <w:t>VARCHAR2</w:t>
      </w:r>
      <w:r>
        <w:t xml:space="preserve">, </w:t>
      </w:r>
      <w:r>
        <w:rPr>
          <w:rFonts w:ascii="Consolas" w:hAnsi="Consolas"/>
          <w:color w:val="233648"/>
          <w:sz w:val="16"/>
        </w:rPr>
        <w:t>NUMBER</w:t>
      </w:r>
      <w:r>
        <w:t xml:space="preserve">, </w:t>
      </w:r>
      <w:r>
        <w:rPr>
          <w:rFonts w:ascii="Consolas" w:hAnsi="Consolas"/>
          <w:color w:val="233648"/>
          <w:sz w:val="16"/>
        </w:rPr>
        <w:t>DATE</w:t>
      </w:r>
      <w:r>
        <w:t xml:space="preserve"> y </w:t>
      </w:r>
      <w:r>
        <w:rPr>
          <w:rFonts w:ascii="Consolas" w:hAnsi="Consolas"/>
          <w:color w:val="233648"/>
          <w:sz w:val="16"/>
        </w:rPr>
        <w:t>TIMESTAMP</w:t>
      </w:r>
      <w:r>
        <w:t>;</w:t>
      </w:r>
    </w:p>
    <w:p>
      <w:pPr>
        <w:spacing w:after="60"/>
        <w:ind w:left="369" w:hanging="255"/>
      </w:pPr>
      <w:r>
        <w:t xml:space="preserve">4. </w:t>
      </w:r>
      <w:r>
        <w:t>consulta sin filas, con el máximo permitido y con conversión inválida;</w:t>
      </w:r>
    </w:p>
    <w:p>
      <w:pPr>
        <w:spacing w:after="60"/>
        <w:ind w:left="369" w:hanging="255"/>
      </w:pPr>
      <w:r>
        <w:t xml:space="preserve">5. </w:t>
      </w:r>
      <w:r>
        <w:t xml:space="preserve">papel A4 en orientación </w:t>
      </w:r>
      <w:r>
        <w:rPr>
          <w:rFonts w:ascii="Consolas" w:hAnsi="Consolas"/>
          <w:color w:val="233648"/>
          <w:sz w:val="16"/>
        </w:rPr>
        <w:t>AUTO</w:t>
      </w:r>
      <w:r>
        <w:t xml:space="preserve">, </w:t>
      </w:r>
      <w:r>
        <w:rPr>
          <w:rFonts w:ascii="Consolas" w:hAnsi="Consolas"/>
          <w:color w:val="233648"/>
          <w:sz w:val="16"/>
        </w:rPr>
        <w:t>PORTRAIT</w:t>
      </w:r>
      <w:r>
        <w:t xml:space="preserve"> y </w:t>
      </w:r>
      <w:r>
        <w:rPr>
          <w:rFonts w:ascii="Consolas" w:hAnsi="Consolas"/>
          <w:color w:val="233648"/>
          <w:sz w:val="16"/>
        </w:rPr>
        <w:t>LANDSCAPE</w:t>
      </w:r>
      <w:r>
        <w:t>;</w:t>
      </w:r>
    </w:p>
    <w:p>
      <w:pPr>
        <w:spacing w:after="60"/>
        <w:ind w:left="369" w:hanging="255"/>
      </w:pPr>
      <w:r>
        <w:t xml:space="preserve">6. </w:t>
      </w:r>
      <w:r>
        <w:t xml:space="preserve">una columna </w:t>
      </w:r>
      <w:r>
        <w:rPr>
          <w:rFonts w:ascii="Consolas" w:hAnsi="Consolas"/>
          <w:color w:val="233648"/>
          <w:sz w:val="16"/>
        </w:rPr>
        <w:t>AUTO</w:t>
      </w:r>
      <w:r>
        <w:t>, columnas fijas y ponderadas, y columnas excluidas;</w:t>
      </w:r>
    </w:p>
    <w:p>
      <w:pPr>
        <w:spacing w:after="60"/>
        <w:ind w:left="369" w:hanging="255"/>
      </w:pPr>
      <w:r>
        <w:t xml:space="preserve">7. </w:t>
      </w:r>
      <w:r>
        <w:t xml:space="preserve">cierre correcto de la petición después de </w:t>
      </w:r>
      <w:r>
        <w:rPr>
          <w:rFonts w:ascii="Consolas" w:hAnsi="Consolas"/>
          <w:color w:val="233648"/>
          <w:sz w:val="16"/>
        </w:rPr>
        <w:t>APEX_DATA_EXPORT.DOWNLOAD</w:t>
      </w:r>
      <w:r>
        <w:t>.</w:t>
      </w:r>
    </w:p>
    <w:p>
      <w:pPr>
        <w:pStyle w:val="Heading1"/>
        <w:keepNext/>
      </w:pPr>
      <w:r>
        <w:t>Modo layout: RPT_PDF y RPT_LAYOUT</w:t>
      </w:r>
    </w:p>
    <w:p>
      <w:r>
        <w:t xml:space="preserve">Requisitos: Oracle Database 18c o superior (usa </w:t>
      </w:r>
      <w:r>
        <w:rPr>
          <w:rFonts w:ascii="Consolas" w:hAnsi="Consolas"/>
          <w:color w:val="233648"/>
          <w:sz w:val="16"/>
        </w:rPr>
        <w:t>JSON_OBJECT_T</w:t>
      </w:r>
      <w:r>
        <w:t>) y el mismo parsing schema que los reportes. No necesita Java, servidores de impresión ni licencias.</w:t>
      </w:r>
    </w:p>
    <w:p>
      <w:r>
        <w:t>Con SQLcl o SQL*Plus: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cd sql/modo_layout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@install.sql                 -- RPT_PDF y RPT_LAYOUT, y muestra su estado</w:t>
            </w:r>
          </w:p>
        </w:tc>
      </w:tr>
    </w:tbl>
    <w:p>
      <w:r>
        <w:t xml:space="preserve">Desde SQL Workshop &gt; SQL Scripts, suba y ejecute en este orden: </w:t>
      </w:r>
      <w:r>
        <w:rPr>
          <w:rFonts w:ascii="Consolas" w:hAnsi="Consolas"/>
          <w:color w:val="233648"/>
          <w:sz w:val="16"/>
        </w:rPr>
        <w:t>rpt_pdf.pks</w:t>
      </w:r>
      <w:r>
        <w:t xml:space="preserve">, </w:t>
      </w:r>
      <w:r>
        <w:rPr>
          <w:rFonts w:ascii="Consolas" w:hAnsi="Consolas"/>
          <w:color w:val="233648"/>
          <w:sz w:val="16"/>
        </w:rPr>
        <w:t>rpt_pdf.pkb</w:t>
      </w:r>
      <w:r>
        <w:t xml:space="preserve">, </w:t>
      </w:r>
      <w:r>
        <w:rPr>
          <w:rFonts w:ascii="Consolas" w:hAnsi="Consolas"/>
          <w:color w:val="233648"/>
          <w:sz w:val="16"/>
        </w:rPr>
        <w:t>rpt_layout.pks</w:t>
      </w:r>
      <w:r>
        <w:t xml:space="preserve"> y </w:t>
      </w:r>
      <w:r>
        <w:rPr>
          <w:rFonts w:ascii="Consolas" w:hAnsi="Consolas"/>
          <w:color w:val="233648"/>
          <w:sz w:val="16"/>
        </w:rPr>
        <w:t>rpt_layout.pkb</w:t>
      </w:r>
      <w:r>
        <w:t>. Compruebe en Object Browser que los dos packages están VALID.</w:t>
      </w:r>
    </w:p>
    <w:p>
      <w:r>
        <w:t xml:space="preserve">Después, por cada reporte del modo layout, ejecute su </w:t>
      </w:r>
      <w:r>
        <w:rPr>
          <w:rFonts w:ascii="Consolas" w:hAnsi="Consolas"/>
          <w:color w:val="233648"/>
          <w:sz w:val="16"/>
        </w:rPr>
        <w:t>proyectos\&lt;nombre&gt;\rpt_&lt;nombre&gt;.sql</w:t>
      </w:r>
      <w:r>
        <w:t xml:space="preserve"> y pegue su </w:t>
      </w:r>
      <w:r>
        <w:rPr>
          <w:rFonts w:ascii="Consolas" w:hAnsi="Consolas"/>
          <w:color w:val="233648"/>
          <w:sz w:val="16"/>
        </w:rPr>
        <w:t>apex_process.sql</w:t>
      </w:r>
      <w:r>
        <w:t xml:space="preserve"> en la página (Manual de uso, sección 13.3).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5563"/>
        <w:sz w:val="15"/>
      </w:rPr>
      <w:t>Uso interno · Oracle APEX 24.2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A5563"/>
        <w:sz w:val="15"/>
      </w:rPr>
      <w:t>APEX WORD REPORT COMPILER  ·  DOCUMENTACIÓN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2B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38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838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Objetos de base de datos</dc:title>
  <dc:subject>Motores comunes del modo simple y del modo layout · Oracle APEX 24.2</dc:subject>
  <dc:creator>Área de Informática</dc:creator>
  <cp:keywords>Oracle APEX, reportes, Word, APEX_DATA_EXPORT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