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Compilador local Word → reportes Oracle APEX</w:t>
      </w:r>
    </w:p>
    <w:p>
      <w:pPr>
        <w:spacing w:after="360"/>
        <w:jc w:val="center"/>
      </w:pPr>
      <w:r>
        <w:rPr>
          <w:rFonts w:ascii="Aptos" w:hAnsi="Aptos"/>
          <w:color w:val="4A5563"/>
          <w:sz w:val="22"/>
        </w:rPr>
        <w:t>Guía de inicio · Versión 1.0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283848"/>
          </w:tcPr>
          <w:p/>
        </w:tc>
      </w:tr>
    </w:tbl>
    <w:p/>
    <w:p>
      <w:r>
        <w:t>Este proyecto permite que Informática diseñe un reporte tabular en Microsoft</w:t>
      </w:r>
      <w:r>
        <w:t xml:space="preserve"> </w:t>
      </w:r>
      <w:r>
        <w:t>Word, lo valide localmente y genere el bloque PL/SQL mínimo que Oracle APEX</w:t>
      </w:r>
      <w:r>
        <w:t xml:space="preserve"> </w:t>
      </w:r>
      <w:r>
        <w:t xml:space="preserve">24.2 necesita para descargar PDF o XLSX mediante </w:t>
      </w:r>
      <w:r>
        <w:rPr>
          <w:rFonts w:ascii="Consolas" w:hAnsi="Consolas"/>
          <w:color w:val="233648"/>
          <w:sz w:val="16"/>
        </w:rPr>
        <w:t>APEX_DATA_EXPORT</w:t>
      </w:r>
      <w:r>
        <w:t>.</w:t>
      </w:r>
    </w:p>
    <w:p>
      <w:r>
        <w:t>Word y Python se usan solamente en la computadora del desarrollador. En el</w:t>
      </w:r>
      <w:r>
        <w:t xml:space="preserve"> </w:t>
      </w:r>
      <w:r>
        <w:t>servidor no se requieren Word, LibreOffice, Python, Docker ni un motor de</w:t>
      </w:r>
      <w:r>
        <w:t xml:space="preserve"> </w:t>
      </w:r>
      <w:r>
        <w:t>impresión adicional. En Oracle se instala una sola vez</w:t>
      </w:r>
      <w:r>
        <w:t xml:space="preserve"> </w:t>
      </w:r>
      <w:r>
        <w:rPr>
          <w:rFonts w:ascii="Consolas" w:hAnsi="Consolas"/>
          <w:color w:val="233648"/>
          <w:sz w:val="16"/>
        </w:rPr>
        <w:t>PKG_CORPORATE_REPORTS</w:t>
      </w:r>
      <w:r>
        <w:t>.</w:t>
      </w:r>
    </w:p>
    <w:p>
      <w:pPr>
        <w:pStyle w:val="Heading1"/>
        <w:keepNext/>
      </w:pPr>
      <w:r>
        <w:t>Alcance de la versión 1.0</w:t>
      </w:r>
    </w:p>
    <w:p>
      <w:pPr>
        <w:spacing w:after="60"/>
        <w:ind w:left="369" w:hanging="255"/>
      </w:pPr>
      <w:r>
        <w:t xml:space="preserve">• </w:t>
      </w:r>
      <w:r>
        <w:t xml:space="preserve">una consulta SQL </w:t>
      </w:r>
      <w:r>
        <w:rPr>
          <w:rFonts w:ascii="Consolas" w:hAnsi="Consolas"/>
          <w:color w:val="233648"/>
          <w:sz w:val="16"/>
        </w:rPr>
        <w:t>SELECT</w:t>
      </w:r>
      <w:r>
        <w:t xml:space="preserve"> o </w:t>
      </w:r>
      <w:r>
        <w:rPr>
          <w:rFonts w:ascii="Consolas" w:hAnsi="Consolas"/>
          <w:color w:val="233648"/>
          <w:sz w:val="16"/>
        </w:rPr>
        <w:t>WITH</w:t>
      </w:r>
      <w:r>
        <w:t xml:space="preserve"> por reporte;</w:t>
      </w:r>
    </w:p>
    <w:p>
      <w:pPr>
        <w:spacing w:after="60"/>
        <w:ind w:left="369" w:hanging="255"/>
      </w:pPr>
      <w:r>
        <w:t xml:space="preserve">• </w:t>
      </w:r>
      <w:r>
        <w:t>una plantilla DOCX A4 con un título, una tabla de dos filas y un pie;</w:t>
      </w:r>
    </w:p>
    <w:p>
      <w:pPr>
        <w:spacing w:after="60"/>
        <w:ind w:left="369" w:hanging="255"/>
      </w:pPr>
      <w:r>
        <w:t xml:space="preserve">• </w:t>
      </w:r>
      <w:r>
        <w:t>fila 1: encabezados literales;</w:t>
      </w:r>
    </w:p>
    <w:p>
      <w:pPr>
        <w:spacing w:after="60"/>
        <w:ind w:left="369" w:hanging="255"/>
      </w:pPr>
      <w:r>
        <w:t xml:space="preserve">• </w:t>
      </w:r>
      <w:r>
        <w:t xml:space="preserve">fila 2: un marcador </w:t>
      </w:r>
      <w:r>
        <w:rPr>
          <w:rFonts w:ascii="Consolas" w:hAnsi="Consolas"/>
          <w:color w:val="233648"/>
          <w:sz w:val="16"/>
        </w:rPr>
        <w:t>{{COLUMN:ALIAS}}</w:t>
      </w:r>
      <w:r>
        <w:t xml:space="preserve"> por celda;</w:t>
      </w:r>
    </w:p>
    <w:p>
      <w:pPr>
        <w:spacing w:after="60"/>
        <w:ind w:left="369" w:hanging="255"/>
      </w:pPr>
      <w:r>
        <w:t xml:space="preserve">• </w:t>
      </w:r>
      <w:r>
        <w:t xml:space="preserve">marcadores escalares </w:t>
      </w:r>
      <w:r>
        <w:rPr>
          <w:rFonts w:ascii="Consolas" w:hAnsi="Consolas"/>
          <w:color w:val="233648"/>
          <w:sz w:val="16"/>
        </w:rPr>
        <w:t>{{REPORT_TITLE}}</w:t>
      </w:r>
      <w:r>
        <w:t xml:space="preserve">, </w:t>
      </w:r>
      <w:r>
        <w:rPr>
          <w:rFonts w:ascii="Consolas" w:hAnsi="Consolas"/>
          <w:color w:val="233648"/>
          <w:sz w:val="16"/>
        </w:rPr>
        <w:t>{{APP_USER}}</w:t>
      </w:r>
      <w:r>
        <w:t xml:space="preserve">, </w:t>
      </w:r>
      <w:r>
        <w:rPr>
          <w:rFonts w:ascii="Consolas" w:hAnsi="Consolas"/>
          <w:color w:val="233648"/>
          <w:sz w:val="16"/>
        </w:rPr>
        <w:t>{{GENERATED_AT}}</w:t>
      </w:r>
      <w:r>
        <w:t xml:space="preserve"> y </w:t>
      </w:r>
      <w:r>
        <w:rPr>
          <w:rFonts w:ascii="Consolas" w:hAnsi="Consolas"/>
          <w:color w:val="233648"/>
          <w:sz w:val="16"/>
        </w:rPr>
        <w:t>{{FIELD:NOMBRE}}</w:t>
      </w:r>
      <w:r>
        <w:t>;</w:t>
      </w:r>
    </w:p>
    <w:p>
      <w:pPr>
        <w:spacing w:after="60"/>
        <w:ind w:left="369" w:hanging="255"/>
      </w:pPr>
      <w:r>
        <w:t xml:space="preserve">• </w:t>
      </w:r>
      <w:r>
        <w:t>bindings tipados a Page Items sin concatenar valores en el SQL;</w:t>
      </w:r>
    </w:p>
    <w:p>
      <w:pPr>
        <w:spacing w:after="60"/>
        <w:ind w:left="369" w:hanging="255"/>
      </w:pPr>
      <w:r>
        <w:t xml:space="preserve">• </w:t>
      </w:r>
      <w:r>
        <w:t xml:space="preserve">anchos </w:t>
      </w:r>
      <w:r>
        <w:rPr>
          <w:rFonts w:ascii="Consolas" w:hAnsi="Consolas"/>
          <w:color w:val="233648"/>
          <w:sz w:val="16"/>
        </w:rPr>
        <w:t>FIXED_PERCENT</w:t>
      </w:r>
      <w:r>
        <w:t xml:space="preserve">, </w:t>
      </w:r>
      <w:r>
        <w:rPr>
          <w:rFonts w:ascii="Consolas" w:hAnsi="Consolas"/>
          <w:color w:val="233648"/>
          <w:sz w:val="16"/>
        </w:rPr>
        <w:t>WEIGHT</w:t>
      </w:r>
      <w:r>
        <w:t xml:space="preserve"> y una columna </w:t>
      </w:r>
      <w:r>
        <w:rPr>
          <w:rFonts w:ascii="Consolas" w:hAnsi="Consolas"/>
          <w:color w:val="233648"/>
          <w:sz w:val="16"/>
        </w:rPr>
        <w:t>AUTO</w:t>
      </w:r>
      <w:r>
        <w:t>;</w:t>
      </w:r>
    </w:p>
    <w:p>
      <w:pPr>
        <w:spacing w:after="60"/>
        <w:ind w:left="369" w:hanging="255"/>
      </w:pPr>
      <w:r>
        <w:t xml:space="preserve">• </w:t>
      </w:r>
      <w:r>
        <w:t xml:space="preserve">orientación </w:t>
      </w:r>
      <w:r>
        <w:rPr>
          <w:rFonts w:ascii="Consolas" w:hAnsi="Consolas"/>
          <w:color w:val="233648"/>
          <w:sz w:val="16"/>
        </w:rPr>
        <w:t>AUTO</w:t>
      </w:r>
      <w:r>
        <w:t xml:space="preserve">, </w:t>
      </w:r>
      <w:r>
        <w:rPr>
          <w:rFonts w:ascii="Consolas" w:hAnsi="Consolas"/>
          <w:color w:val="233648"/>
          <w:sz w:val="16"/>
        </w:rPr>
        <w:t>PORTRAIT</w:t>
      </w:r>
      <w:r>
        <w:t xml:space="preserve"> o </w:t>
      </w:r>
      <w:r>
        <w:rPr>
          <w:rFonts w:ascii="Consolas" w:hAnsi="Consolas"/>
          <w:color w:val="233648"/>
          <w:sz w:val="16"/>
        </w:rPr>
        <w:t>LANDSCAPE</w:t>
      </w:r>
      <w:r>
        <w:t>;</w:t>
      </w:r>
    </w:p>
    <w:p>
      <w:pPr>
        <w:spacing w:after="60"/>
        <w:ind w:left="369" w:hanging="255"/>
      </w:pPr>
      <w:r>
        <w:t xml:space="preserve">• </w:t>
      </w:r>
      <w:r>
        <w:t>salida PDF o XLSX.</w:t>
      </w:r>
    </w:p>
    <w:p>
      <w:r>
        <w:t>El SQL debe devolver el texto que se desea imprimir. Para un LOV, use un</w:t>
      </w:r>
      <w:r>
        <w:t xml:space="preserve"> </w:t>
      </w:r>
      <w:r>
        <w:rPr>
          <w:rFonts w:ascii="Consolas" w:hAnsi="Consolas"/>
          <w:color w:val="233648"/>
          <w:sz w:val="16"/>
        </w:rPr>
        <w:t>JOIN</w:t>
      </w:r>
      <w:r>
        <w:t xml:space="preserve"> y seleccione el </w:t>
      </w:r>
      <w:r>
        <w:rPr>
          <w:i/>
        </w:rPr>
        <w:t>display value</w:t>
      </w:r>
      <w:r>
        <w:t xml:space="preserve"> con el alias declarado en Word.</w:t>
      </w:r>
    </w:p>
    <w:p>
      <w:pPr>
        <w:pStyle w:val="Heading1"/>
        <w:keepNext/>
      </w:pPr>
      <w:r>
        <w:t>Inicio rápido en Windows</w:t>
      </w:r>
    </w:p>
    <w:p>
      <w:r>
        <w:t xml:space="preserve">Haga doble clic en </w:t>
      </w:r>
      <w:r>
        <w:rPr>
          <w:b/>
        </w:rPr>
        <w:t>Compilador de reportes APEX</w:t>
      </w:r>
      <w:r>
        <w:t xml:space="preserve"> (acceso directo de esta</w:t>
      </w:r>
      <w:r>
        <w:t xml:space="preserve"> </w:t>
      </w:r>
      <w:r>
        <w:t xml:space="preserve">carpeta) o en </w:t>
      </w:r>
      <w:r>
        <w:rPr>
          <w:b/>
        </w:rPr>
        <w:t>Abrir compilador.bat</w:t>
      </w:r>
      <w:r>
        <w:t xml:space="preserve">. La primera vez prepara </w:t>
      </w:r>
      <w:r>
        <w:rPr>
          <w:rFonts w:ascii="Consolas" w:hAnsi="Consolas"/>
          <w:color w:val="233648"/>
          <w:sz w:val="16"/>
        </w:rPr>
        <w:t>.venv</w:t>
      </w:r>
      <w:r>
        <w:t xml:space="preserve"> </w:t>
      </w:r>
      <w:r>
        <w:t>automáticamente; requiere Python 3.12 o superior. El acceso directo sigue</w:t>
      </w:r>
      <w:r>
        <w:t xml:space="preserve"> </w:t>
      </w:r>
      <w:r>
        <w:t>funcionando si la carpeta se mueve o se entrega comprimida.</w:t>
      </w:r>
    </w:p>
    <w:p>
      <w:r>
        <w:t>Instalación manual equivalente: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py -3.13 -m venv .venv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.\.venv\Scripts\Activate.ps1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python -m pip install --upgrade pip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python -m pip install -e .</w:t>
            </w:r>
          </w:p>
        </w:tc>
      </w:tr>
    </w:tbl>
    <w:p>
      <w:r>
        <w:t>Validar el ejemplo sin escribir artefactos: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apex-report-compiler validate `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--project .\examples\entidades.report.json</w:t>
            </w:r>
          </w:p>
        </w:tc>
      </w:tr>
    </w:tbl>
    <w:p>
      <w:r>
        <w:t>Compilarlo: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apex-report-compiler compile `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--project .\examples\entidades.report.json `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--output .\build\entidades</w:t>
            </w:r>
          </w:p>
        </w:tc>
      </w:tr>
    </w:tbl>
    <w:p>
      <w:r>
        <w:t>Interfaz gráfica: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apex-report-compiler-gui</w:t>
            </w:r>
          </w:p>
        </w:tc>
      </w:tr>
    </w:tbl>
    <w:p>
      <w:r>
        <w:t xml:space="preserve">La interfaz puede crear un proyecto inicial desde un DOCX (Page Items </w:t>
      </w:r>
      <w:r>
        <w:rPr>
          <w:rFonts w:ascii="Consolas" w:hAnsi="Consolas"/>
          <w:color w:val="233648"/>
          <w:sz w:val="16"/>
        </w:rPr>
        <w:t>PXX_</w:t>
      </w:r>
      <w:r>
        <w:t xml:space="preserve"> </w:t>
      </w:r>
      <w:r>
        <w:t>mapeados a los marcadores del Word) y, al compilar, muestra exactamente qué</w:t>
      </w:r>
      <w:r>
        <w:t xml:space="preserve"> </w:t>
      </w:r>
      <w:r>
        <w:t>archivo subir a APEX, dónde pegarlo y qué Page Items crear.</w:t>
      </w:r>
    </w:p>
    <w:p>
      <w:r>
        <w:t>También puede ejecutar la CLI sin instalar el paquete editable: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python .\launch_compiler.py validate `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--project .\examples\entidades.report.json</w:t>
            </w:r>
          </w:p>
        </w:tc>
      </w:tr>
    </w:tbl>
    <w:p>
      <w:pPr>
        <w:pStyle w:val="Heading1"/>
        <w:keepNext/>
      </w:pPr>
      <w:r>
        <w:t>Artefactos generados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template.json</w:t>
      </w:r>
      <w:r>
        <w:t>: interpretación canónica de la plantilla y configuración;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validation.json</w:t>
      </w:r>
      <w:r>
        <w:t>: diagnósticos reproducibles;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apex_process.sql</w:t>
      </w:r>
      <w:r>
        <w:t>: proceso PL/SQL listo para revisar y copiar en APEX.</w:t>
      </w:r>
    </w:p>
    <w:p>
      <w:r>
        <w:t>La compilación es transaccional: si la validación falla, no sustituye una</w:t>
      </w:r>
      <w:r>
        <w:t xml:space="preserve"> </w:t>
      </w:r>
      <w:r>
        <w:t>salida anterior válida.</w:t>
      </w:r>
    </w:p>
    <w:p>
      <w:pPr>
        <w:pStyle w:val="Heading1"/>
        <w:keepNext/>
      </w:pPr>
      <w:r>
        <w:t>Instalación en Oracle APEX</w:t>
      </w:r>
    </w:p>
    <w:p>
      <w:pPr>
        <w:spacing w:after="60"/>
        <w:ind w:left="369" w:hanging="255"/>
      </w:pPr>
      <w:r>
        <w:t xml:space="preserve">1. </w:t>
      </w:r>
      <w:r>
        <w:t xml:space="preserve">Lea </w:t>
      </w:r>
      <w:r>
        <w:rPr>
          <w:rFonts w:ascii="Consolas" w:hAnsi="Consolas"/>
          <w:color w:val="233648"/>
          <w:sz w:val="16"/>
        </w:rPr>
        <w:t>sql/README.docx</w:t>
      </w:r>
      <w:r>
        <w:t>.</w:t>
      </w:r>
    </w:p>
    <w:p>
      <w:pPr>
        <w:spacing w:after="60"/>
        <w:ind w:left="369" w:hanging="255"/>
      </w:pPr>
      <w:r>
        <w:t xml:space="preserve">2. </w:t>
      </w:r>
      <w:r>
        <w:t xml:space="preserve">Instale </w:t>
      </w:r>
      <w:r>
        <w:rPr>
          <w:rFonts w:ascii="Consolas" w:hAnsi="Consolas"/>
          <w:color w:val="233648"/>
          <w:sz w:val="16"/>
        </w:rPr>
        <w:t>sql/pkg_corporate_reports.sql</w:t>
      </w:r>
      <w:r>
        <w:t xml:space="preserve"> en el </w:t>
      </w:r>
      <w:r>
        <w:rPr>
          <w:i/>
        </w:rPr>
        <w:t>parsing schema</w:t>
      </w:r>
      <w:r>
        <w:t>.</w:t>
      </w:r>
    </w:p>
    <w:p>
      <w:pPr>
        <w:spacing w:after="60"/>
        <w:ind w:left="369" w:hanging="255"/>
      </w:pPr>
      <w:r>
        <w:t xml:space="preserve">3. </w:t>
      </w:r>
      <w:r>
        <w:t xml:space="preserve">Confirme que el package y su body estén </w:t>
      </w:r>
      <w:r>
        <w:rPr>
          <w:rFonts w:ascii="Consolas" w:hAnsi="Consolas"/>
          <w:color w:val="233648"/>
          <w:sz w:val="16"/>
        </w:rPr>
        <w:t>VALID</w:t>
      </w:r>
      <w:r>
        <w:t>.</w:t>
      </w:r>
    </w:p>
    <w:p>
      <w:pPr>
        <w:spacing w:after="60"/>
        <w:ind w:left="369" w:hanging="255"/>
      </w:pPr>
      <w:r>
        <w:t xml:space="preserve">4. </w:t>
      </w:r>
      <w:r>
        <w:t>Compile localmente el proyecto del reporte.</w:t>
      </w:r>
    </w:p>
    <w:p>
      <w:pPr>
        <w:spacing w:after="60"/>
        <w:ind w:left="369" w:hanging="255"/>
      </w:pPr>
      <w:r>
        <w:t xml:space="preserve">5. </w:t>
      </w:r>
      <w:r>
        <w:t xml:space="preserve">Revise y copie </w:t>
      </w:r>
      <w:r>
        <w:rPr>
          <w:rFonts w:ascii="Consolas" w:hAnsi="Consolas"/>
          <w:color w:val="233648"/>
          <w:sz w:val="16"/>
        </w:rPr>
        <w:t>apex_process.sql</w:t>
      </w:r>
      <w:r>
        <w:t xml:space="preserve"> en un proceso de descarga de APEX.</w:t>
      </w:r>
    </w:p>
    <w:p>
      <w:pPr>
        <w:spacing w:after="60"/>
        <w:ind w:left="369" w:hanging="255"/>
      </w:pPr>
      <w:r>
        <w:t xml:space="preserve">6. </w:t>
      </w:r>
      <w:r>
        <w:t>Pruebe PDF/XLSX, seguridad, Page Items, límites y datos reales en APEX 24.2 antes de promover a producción.</w:t>
      </w:r>
    </w:p>
    <w:p>
      <w:r>
        <w:t xml:space="preserve">El package conserva las operaciones anteriores </w:t>
      </w:r>
      <w:r>
        <w:rPr>
          <w:rFonts w:ascii="Consolas" w:hAnsi="Consolas"/>
          <w:color w:val="233648"/>
          <w:sz w:val="16"/>
        </w:rPr>
        <w:t>DOWNLOAD_IG</w:t>
      </w:r>
      <w:r>
        <w:t xml:space="preserve"> y</w:t>
      </w:r>
      <w:r>
        <w:t xml:space="preserve"> </w:t>
      </w:r>
      <w:r>
        <w:rPr>
          <w:rFonts w:ascii="Consolas" w:hAnsi="Consolas"/>
          <w:color w:val="233648"/>
          <w:sz w:val="16"/>
        </w:rPr>
        <w:t>DOWNLOAD_IG_PDF</w:t>
      </w:r>
      <w:r>
        <w:t xml:space="preserve">; la nueva operación SQL declarativa es </w:t>
      </w:r>
      <w:r>
        <w:rPr>
          <w:rFonts w:ascii="Consolas" w:hAnsi="Consolas"/>
          <w:color w:val="233648"/>
          <w:sz w:val="16"/>
        </w:rPr>
        <w:t>DOWNLOAD_QUERY</w:t>
      </w:r>
      <w:r>
        <w:t>.</w:t>
      </w:r>
    </w:p>
    <w:p>
      <w:pPr>
        <w:pStyle w:val="Heading1"/>
        <w:keepNext/>
      </w:pPr>
      <w:r>
        <w:t>Documentación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deliverables/Manual_de_uso.docx</w:t>
      </w:r>
      <w:r>
        <w:t>: guía completa para diseñadores y desarrolladores APEX.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deliverables/Informe_de_alcance_y_limitaciones.docx</w:t>
      </w:r>
      <w:r>
        <w:t>: alcance aprobado, arquitectura, seguridad y límites.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docs/CONTRACT.docx</w:t>
      </w:r>
      <w:r>
        <w:t>: contrato técnico normativo.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docs/TEMPLATE_QA.docx</w:t>
      </w:r>
      <w:r>
        <w:t>: control de calidad de las plantillas de referencia.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docs/RELEASE_REVIEW.docx</w:t>
      </w:r>
      <w:r>
        <w:t>: evidencia y veredicto de la revisión de liberación.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sql/README.docx</w:t>
      </w:r>
      <w:r>
        <w:t>: instalación y seguridad del package.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examples/README.docx</w:t>
      </w:r>
      <w:r>
        <w:t xml:space="preserve"> y </w:t>
      </w:r>
      <w:r>
        <w:rPr>
          <w:rFonts w:ascii="Consolas" w:hAnsi="Consolas"/>
          <w:color w:val="233648"/>
          <w:sz w:val="16"/>
        </w:rPr>
        <w:t>examples/</w:t>
      </w:r>
      <w:r>
        <w:t>: proyecto ejecutable y resultado esperado.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templates/</w:t>
      </w:r>
      <w:r>
        <w:t>: plantillas Word de referencia, vertical y horizontal.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tests/</w:t>
      </w:r>
      <w:r>
        <w:t>: pruebas automáticas del compilador y del contrato estático PL/SQL.</w:t>
      </w:r>
    </w:p>
    <w:p>
      <w:pPr>
        <w:pStyle w:val="Heading1"/>
        <w:keepNext/>
      </w:pPr>
      <w:r>
        <w:t>Límite de validación local</w:t>
      </w:r>
    </w:p>
    <w:p>
      <w:r>
        <w:t>La suite local verifica el compilador, la seguridad del DOCX, la generación</w:t>
      </w:r>
      <w:r>
        <w:t xml:space="preserve"> </w:t>
      </w:r>
      <w:r>
        <w:t>determinista y el contrato estático del package. No reemplaza la compilación</w:t>
      </w:r>
      <w:r>
        <w:t xml:space="preserve"> </w:t>
      </w:r>
      <w:r>
        <w:t>real contra las APIs instaladas de APEX ni una descarga PDF/XLSX en Oracle;</w:t>
      </w:r>
      <w:r>
        <w:t xml:space="preserve"> </w:t>
      </w:r>
      <w:r>
        <w:t>esas pruebas finales deben realizarse en la aplicación APEX 24.2.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964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4A5563"/>
        <w:sz w:val="15"/>
      </w:rPr>
      <w:t>Uso interno · Oracle APEX 24.2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4A5563"/>
        <w:sz w:val="15"/>
      </w:rPr>
      <w:t>APEX WORD REPORT COMPILER  ·  DOCUMENTACIÓN 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52B3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8384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A55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A556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28384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Compilador local Word → reportes Oracle APEX</dc:title>
  <dc:subject>Guía de inicio · Versión 1.0</dc:subject>
  <dc:creator>Área de Informática</dc:creator>
  <cp:keywords>Oracle APEX, reportes, Word, APEX_DATA_EXPORT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