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r>
        <w:br/>
      </w:r>
      <w:r>
        <w:t xml:space="preserve"> </w:t>
      </w:r>
      <w:r>
        <w:rPr>
          <w:b/>
        </w:rPr>
        <w:t>Destinatarios:</w:t>
      </w:r>
      <w:r>
        <w:t xml:space="preserve"> personal de Informática que diseña reportes y desarrolladores Oracle APEX</w:t>
      </w:r>
      <w:r>
        <w:br/>
      </w:r>
      <w:r>
        <w:t xml:space="preserve"> </w:t>
      </w:r>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 xml:space="preserve">Plantilla </w:t>
            </w:r>
            <w:r>
              <w:rPr>
                <w:rFonts w:ascii="Aptos" w:hAnsi="Aptos"/>
                <w:color w:val="233648"/>
                <w:sz w:val="16"/>
              </w:rPr>
              <w:t>.docx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 xml:space="preserve">Consulta </w:t>
            </w:r>
            <w:r>
              <w:rPr>
                <w:rFonts w:ascii="Aptos" w:hAnsi="Aptos"/>
                <w:color w:val="233648"/>
                <w:sz w:val="16"/>
              </w:rPr>
              <w:t>.sql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 xml:space="preserve">Proyecto </w:t>
            </w:r>
            <w:r>
              <w:rPr>
                <w:rFonts w:ascii="Aptos" w:hAnsi="Aptos"/>
                <w:color w:val="233648"/>
                <w:sz w:val="16"/>
              </w:rPr>
              <w:t>.report.json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 xml:space="preserve">Valida y genera </w:t>
            </w:r>
            <w:r>
              <w:rPr>
                <w:rFonts w:ascii="Aptos" w:hAnsi="Aptos"/>
                <w:color w:val="233648"/>
                <w:sz w:val="16"/>
              </w:rPr>
              <w:t>template.json</w:t>
            </w:r>
            <w:r>
              <w:rPr>
                <w:rFonts w:ascii="Aptos" w:hAnsi="Aptos"/>
                <w:sz w:val="16"/>
              </w:rPr>
              <w:t xml:space="preserve">, </w:t>
            </w:r>
            <w:r>
              <w:rPr>
                <w:rFonts w:ascii="Aptos" w:hAnsi="Aptos"/>
                <w:color w:val="233648"/>
                <w:sz w:val="16"/>
              </w:rPr>
              <w:t>validation.json</w:t>
            </w:r>
            <w:r>
              <w:rPr>
                <w:rFonts w:ascii="Aptos" w:hAnsi="Aptos"/>
                <w:sz w:val="16"/>
              </w:rPr>
              <w:t xml:space="preserve"> y </w:t>
            </w:r>
            <w:r>
              <w:rPr>
                <w:rFonts w:ascii="Aptos" w:hAnsi="Aptos"/>
                <w:color w:val="233648"/>
                <w:sz w:val="16"/>
              </w:rPr>
              <w:t>apex_process.sql</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PKG_CORPORATE_REPORTS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1"/>
        <w:keepNext/>
      </w:pPr>
      <w:r>
        <w:t>3. Requisitos locales</w:t>
      </w:r>
    </w:p>
    <w:p>
      <w:pPr>
        <w:spacing w:after="60"/>
        <w:ind w:left="369" w:hanging="255"/>
      </w:pPr>
      <w:r>
        <w:t xml:space="preserve">• </w:t>
      </w:r>
      <w:r>
        <w:t>Windows 10/11 o un sistema con Python compatible.</w:t>
      </w:r>
    </w:p>
    <w:p>
      <w:pPr>
        <w:spacing w:after="60"/>
        <w:ind w:left="369" w:hanging="255"/>
      </w:pPr>
      <w:r>
        <w:t xml:space="preserve">• </w:t>
      </w:r>
      <w:r>
        <w:t>Python 3.12 o superior.</w:t>
      </w:r>
    </w:p>
    <w:p>
      <w:pPr>
        <w:spacing w:after="60"/>
        <w:ind w:left="369" w:hanging="255"/>
      </w:pPr>
      <w:r>
        <w:t xml:space="preserve">• </w:t>
      </w:r>
      <w:r>
        <w:t>Microsoft Word para editar plantillas. Word no es necesario para ejecutar el compilador.</w:t>
      </w:r>
    </w:p>
    <w:p>
      <w:pPr>
        <w:spacing w:after="60"/>
        <w:ind w:left="369" w:hanging="255"/>
      </w:pPr>
      <w:r>
        <w:t xml:space="preserve">• </w:t>
      </w:r>
      <w:r>
        <w:t>Acceso al proyecto del compilador.</w:t>
      </w:r>
    </w:p>
    <w:p>
      <w:pPr>
        <w:spacing w:after="60"/>
        <w:ind w:left="369" w:hanging="255"/>
      </w:pPr>
      <w:r>
        <w:t xml:space="preserve">• </w:t>
      </w:r>
      <w:r>
        <w:t>Un editor de texto para SQL y JSON.</w:t>
      </w:r>
    </w:p>
    <w:p>
      <w:pPr>
        <w:pStyle w:val="Heading2"/>
        <w:keepNext/>
      </w:pPr>
      <w:r>
        <w:t>3.1 Forma rápida: acceso directo</w:t>
      </w:r>
    </w:p>
    <w:p>
      <w:r>
        <w:t xml:space="preserve">En la carpeta raíz del proyecto haga doble clic en </w:t>
      </w:r>
      <w:r>
        <w:rPr>
          <w:b/>
        </w:rPr>
        <w:t>Compilador de reportes APEX</w:t>
      </w:r>
      <w:r>
        <w:t xml:space="preserve"> (acceso directo) o en </w:t>
      </w:r>
      <w:r>
        <w:rPr>
          <w:b/>
        </w:rPr>
        <w:t>Abrir compilador.bat</w:t>
      </w:r>
      <w:r>
        <w:t xml:space="preserve">. La primera vez en un equipo nuevo, el lanzador crea la carpeta </w:t>
      </w:r>
      <w:r>
        <w:rPr>
          <w:rFonts w:ascii="Consolas" w:hAnsi="Consolas"/>
          <w:color w:val="233648"/>
          <w:sz w:val="16"/>
        </w:rPr>
        <w:t>.venv</w:t>
      </w:r>
      <w:r>
        <w:t xml:space="preserve"> e instala </w:t>
      </w:r>
      <w:r>
        <w:rPr>
          <w:rFonts w:ascii="Consolas" w:hAnsi="Consolas"/>
          <w:color w:val="233648"/>
          <w:sz w:val="16"/>
        </w:rPr>
        <w:t>python-docx</w:t>
      </w:r>
      <w:r>
        <w:t xml:space="preserve"> (requiere Python 3.12 o superior y conexión a Internet); las siguientes veces abre la interfaz directamente.</w:t>
      </w:r>
    </w:p>
    <w:p>
      <w:r>
        <w:t xml:space="preserve">El acceso directo funciona aunque la carpeta se mueva, se renombre o se entregue comprimida a otra persona: no guarda ninguna ruta absoluta. Abre PowerShell de Windows, que localiza la carpeta del propio acceso directo y ejecuta </w:t>
      </w:r>
      <w:r>
        <w:rPr>
          <w:b/>
        </w:rPr>
        <w:t>Abrir compilador.bat</w:t>
      </w:r>
      <w:r>
        <w:t xml:space="preserve"> que está a su lado. Si una política corporativa bloquea PowerShell, use directamente </w:t>
      </w:r>
      <w:r>
        <w:rPr>
          <w:b/>
        </w:rPr>
        <w:t>Abrir compilador.bat</w:t>
      </w:r>
      <w:r>
        <w:t>. El acceso directo debe permanecer en la carpeta raíz junto a ese archivo: no lo copie al Escritorio y extraiga el ZIP antes de abrirlo. Para regenerar el acceso directo: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powershell -ExecutionPolicy Bypass -File .\tools\crear_acceso_directo.ps1</w:t>
            </w:r>
          </w:p>
        </w:tc>
      </w:tr>
    </w:tbl>
    <w:p>
      <w:pPr>
        <w:pStyle w:val="Heading2"/>
        <w:keepNext/>
      </w:pPr>
      <w:r>
        <w:t>3.2 Instalación manual</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w:t>
            </w:r>
            <w:r>
              <w:br/>
            </w:r>
            <w:r>
              <w:rPr>
                <w:rFonts w:ascii="Consolas" w:hAnsi="Consolas"/>
                <w:color w:val="233648"/>
                <w:sz w:val="16"/>
              </w:rPr>
              <w:t>.\.venv\Scripts\Activate.ps1</w:t>
            </w:r>
            <w:r>
              <w:br/>
            </w:r>
            <w:r>
              <w:rPr>
                <w:rFonts w:ascii="Consolas" w:hAnsi="Consolas"/>
                <w:color w:val="233648"/>
                <w:sz w:val="16"/>
              </w:rPr>
              <w:t>python -m pip install --upgrade pip</w:t>
            </w:r>
            <w:r>
              <w:br/>
            </w:r>
            <w:r>
              <w:rPr>
                <w:rFonts w:ascii="Consolas" w:hAnsi="Consolas"/>
                <w:color w:val="233648"/>
                <w:sz w:val="16"/>
              </w:rPr>
              <w:t>python -m pip install -e .</w:t>
            </w:r>
          </w:p>
        </w:tc>
      </w:tr>
    </w:tbl>
    <w:p>
      <w:r>
        <w:t xml:space="preserve">Si PowerShell bloquea </w:t>
      </w:r>
      <w:r>
        <w:rPr>
          <w:rFonts w:ascii="Consolas" w:hAnsi="Consolas"/>
          <w:color w:val="233648"/>
          <w:sz w:val="16"/>
        </w:rPr>
        <w:t>Activate.ps1</w:t>
      </w:r>
      <w:r>
        <w:t xml:space="preserve"> por la directiva de ejecución, use </w:t>
      </w:r>
      <w:r>
        <w:rPr>
          <w:rFonts w:ascii="Consolas" w:hAnsi="Consolas"/>
          <w:color w:val="233648"/>
          <w:sz w:val="16"/>
        </w:rPr>
        <w:t>Set-ExecutionPolicy -Scope Process Bypass</w:t>
      </w:r>
      <w:r>
        <w:t xml:space="preserve"> en esa ventana o invoque directamente </w:t>
      </w:r>
      <w:r>
        <w:rPr>
          <w:rFonts w:ascii="Consolas" w:hAnsi="Consolas"/>
          <w:color w:val="233648"/>
          <w:sz w:val="16"/>
        </w:rPr>
        <w:t>.\.venv\Scripts\apex-report-compiler.exe</w:t>
      </w:r>
      <w:r>
        <w:t>.</w:t>
      </w:r>
    </w:p>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w:t>
            </w:r>
          </w:p>
        </w:tc>
      </w:tr>
    </w:tbl>
    <w:p>
      <w:r>
        <w:t>La interfaz gráfica también puede abrirse con: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2"/>
        <w:keepNext/>
      </w:pPr>
      <w:r>
        <w:t>3.3 Qué ofrece la interfaz gráfica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Botón</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Nuevo proyecto desde DOCX…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Lee los marcadores del Word y crea junto a él </w:t>
            </w:r>
            <w:r>
              <w:rPr>
                <w:rFonts w:ascii="Aptos" w:hAnsi="Aptos"/>
                <w:color w:val="233648"/>
                <w:sz w:val="16"/>
              </w:rPr>
              <w:t>&lt;nombre&gt;.report.json</w:t>
            </w:r>
            <w:r>
              <w:rPr>
                <w:rFonts w:ascii="Aptos" w:hAnsi="Aptos"/>
                <w:sz w:val="16"/>
              </w:rPr>
              <w:t xml:space="preserve"> y </w:t>
            </w:r>
            <w:r>
              <w:rPr>
                <w:rFonts w:ascii="Aptos" w:hAnsi="Aptos"/>
                <w:color w:val="233648"/>
                <w:sz w:val="16"/>
              </w:rPr>
              <w:t>&lt;nombre&gt;.sql</w:t>
            </w:r>
            <w:r>
              <w:rPr>
                <w:rFonts w:ascii="Aptos" w:hAnsi="Aptos"/>
                <w:sz w:val="16"/>
              </w:rPr>
              <w:t xml:space="preserve"> con un filtro opcional por columna. Cada filtro se enlaza a un Page Item </w:t>
            </w:r>
            <w:r>
              <w:rPr>
                <w:rFonts w:ascii="Aptos" w:hAnsi="Aptos"/>
                <w:color w:val="233648"/>
                <w:sz w:val="16"/>
              </w:rPr>
              <w:t>PXX_&lt;ALIAS&gt;</w:t>
            </w:r>
            <w:r>
              <w:rPr>
                <w:rFonts w:ascii="Aptos" w:hAnsi="Aptos"/>
                <w:sz w:val="16"/>
              </w:rPr>
              <w:t xml:space="preserve"> (o </w:t>
            </w:r>
            <w:r>
              <w:rPr>
                <w:rFonts w:ascii="Aptos" w:hAnsi="Aptos"/>
                <w:color w:val="233648"/>
                <w:sz w:val="16"/>
              </w:rPr>
              <w:t>P42_&lt;ALIAS&gt;</w:t>
            </w:r>
            <w:r>
              <w:rPr>
                <w:rFonts w:ascii="Aptos" w:hAnsi="Aptos"/>
                <w:sz w:val="16"/>
              </w:rPr>
              <w:t xml:space="preserve"> si indica el número de página) y cada </w:t>
            </w:r>
            <w:r>
              <w:rPr>
                <w:rFonts w:ascii="Aptos" w:hAnsi="Aptos"/>
                <w:color w:val="233648"/>
                <w:sz w:val="16"/>
              </w:rPr>
              <w:t>{{FIELD:NOMBRE}}</w:t>
            </w:r>
            <w:r>
              <w:rPr>
                <w:rFonts w:ascii="Aptos" w:hAnsi="Aptos"/>
                <w:sz w:val="16"/>
              </w:rPr>
              <w:t xml:space="preserve"> a </w:t>
            </w:r>
            <w:r>
              <w:rPr>
                <w:rFonts w:ascii="Aptos" w:hAnsi="Aptos"/>
                <w:color w:val="233648"/>
                <w:sz w:val="16"/>
              </w:rPr>
              <w:t>PXX_&lt;NOMBRE&gt;</w:t>
            </w:r>
            <w:r>
              <w:rPr>
                <w:rFonts w:ascii="Aptos" w:hAnsi="Aptos"/>
                <w:sz w:val="16"/>
              </w:rPr>
              <w:t>. Nunca sobrescribe archivos existentes.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Revisa DOCX, SQL y proyecto sin escribir archivos.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Compilar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Genera los tres artefactos en </w:t>
            </w:r>
            <w:r>
              <w:rPr>
                <w:rFonts w:ascii="Aptos" w:hAnsi="Aptos"/>
                <w:color w:val="233648"/>
                <w:sz w:val="16"/>
              </w:rPr>
              <w:t>build\&lt;reporte&gt;</w:t>
            </w:r>
            <w:r>
              <w:rPr>
                <w:rFonts w:ascii="Aptos" w:hAnsi="Aptos"/>
                <w:sz w:val="16"/>
              </w:rPr>
              <w:t xml:space="preserve"> junto al proyecto y muestra </w:t>
            </w:r>
            <w:r>
              <w:rPr>
                <w:rFonts w:ascii="Aptos" w:hAnsi="Aptos"/>
                <w:b/>
                <w:sz w:val="16"/>
              </w:rPr>
              <w:t>qué subir a APEX y dónde</w:t>
            </w:r>
            <w:r>
              <w:rPr>
                <w:rFonts w:ascii="Aptos" w:hAnsi="Aptos"/>
                <w:sz w:val="16"/>
              </w:rPr>
              <w:t xml:space="preserve">: el package, la tabla de Page Items con su tipo sugerido, el botón, el proceso y la ruta exacta de </w:t>
            </w:r>
            <w:r>
              <w:rPr>
                <w:rFonts w:ascii="Aptos" w:hAnsi="Aptos"/>
                <w:color w:val="233648"/>
                <w:sz w:val="16"/>
              </w:rPr>
              <w:t>apex_process.sql</w:t>
            </w:r>
            <w:r>
              <w:rPr>
                <w:rFonts w:ascii="Aptos" w:hAnsi="Aptos"/>
                <w:sz w:val="16"/>
              </w:rPr>
              <w:t>.</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Copiar código APEX</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 xml:space="preserve">Copia </w:t>
            </w:r>
            <w:r>
              <w:rPr>
                <w:rFonts w:ascii="Aptos" w:hAnsi="Aptos"/>
                <w:color w:val="233648"/>
                <w:sz w:val="16"/>
              </w:rPr>
              <w:t>apex_process.sql</w:t>
            </w:r>
            <w:r>
              <w:rPr>
                <w:rFonts w:ascii="Aptos" w:hAnsi="Aptos"/>
                <w:sz w:val="16"/>
              </w:rPr>
              <w:t xml:space="preserve"> al portapapeles para pegarlo en el proceso.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Abrir carpeta de salida</w:t>
            </w:r>
          </w:p>
        </w:tc>
        <w:tc>
          <w:tcPr>
            <w:tcW w:type="dxa" w:w="4986"/>
            <w:vAlign w:val="center"/>
            <w:tcMar>
              <w:top w:w="90" w:type="dxa"/>
              <w:start w:w="110" w:type="dxa"/>
              <w:bottom w:w="90" w:type="dxa"/>
              <w:end w:w="110" w:type="dxa"/>
            </w:tcMar>
            <w:shd w:fill="FFFFFF"/>
          </w:tcPr>
          <w:p>
            <w:pPr>
              <w:spacing w:after="0"/>
            </w:pPr>
            <w:r>
              <w:rPr>
                <w:rFonts w:ascii="Aptos" w:hAnsi="Aptos"/>
                <w:sz w:val="16"/>
              </w:rPr>
              <w:t>Abre la carpeta con los artefactos generados.</w:t>
            </w:r>
          </w:p>
        </w:tc>
      </w:tr>
    </w:tbl>
    <w:p>
      <w:pPr>
        <w:spacing w:after="20"/>
      </w:pPr>
    </w:p>
    <w:p>
      <w:r>
        <w:t xml:space="preserve">El esqueleto es un punto de partida: reemplace </w:t>
      </w:r>
      <w:r>
        <w:rPr>
          <w:rFonts w:ascii="Consolas" w:hAnsi="Consolas"/>
          <w:color w:val="233648"/>
          <w:sz w:val="16"/>
        </w:rPr>
        <w:t>XX</w:t>
      </w:r>
      <w:r>
        <w:t xml:space="preserve"> por el número real de página, la tabla </w:t>
      </w:r>
      <w:r>
        <w:rPr>
          <w:rFonts w:ascii="Consolas" w:hAnsi="Consolas"/>
          <w:color w:val="233648"/>
          <w:sz w:val="16"/>
        </w:rPr>
        <w:t>tabla_origen</w:t>
      </w:r>
      <w:r>
        <w:t xml:space="preserve"> y las columnas por las reales, y elimine los filtros que no necesite.</w:t>
      </w:r>
    </w:p>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spacing w:after="60"/>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spacing w:after="60"/>
        <w:ind w:left="369" w:hanging="255"/>
      </w:pPr>
      <w:r>
        <w:t xml:space="preserve">2. </w:t>
      </w:r>
      <w:r>
        <w:t>Una tabla de dos filas.</w:t>
      </w:r>
    </w:p>
    <w:p>
      <w:pPr>
        <w:spacing w:after="60"/>
        <w:ind w:left="369" w:hanging="255"/>
      </w:pPr>
      <w:r>
        <w:t xml:space="preserve">3. </w:t>
      </w:r>
      <w:r>
        <w:t>Un pie de página real de Word, opcional pero recomendado.</w:t>
      </w:r>
    </w:p>
    <w:p>
      <w:r>
        <w:t>El primer párrafo no se convierte en contenido exclusivo de la primera página:</w:t>
      </w:r>
      <w:r>
        <w:t xml:space="preserve"> </w:t>
      </w:r>
      <w:r>
        <w:t xml:space="preserve">se compila como el encabezado de página nativo de </w:t>
      </w:r>
      <w:r>
        <w:rPr>
          <w:rFonts w:ascii="Consolas" w:hAnsi="Consolas"/>
          <w:color w:val="233648"/>
          <w:sz w:val="16"/>
        </w:rPr>
        <w:t>APEX_DATA_EXPORT</w:t>
      </w:r>
      <w:r>
        <w:t xml:space="preserve"> y puede</w:t>
      </w:r>
      <w:r>
        <w:t xml:space="preserve"> </w:t>
      </w:r>
      <w:r>
        <w:t>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1</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DNI</w:t>
            </w:r>
            <w:r>
              <w:rPr>
                <w:rFonts w:ascii="Aptos" w:hAnsi="Aptos"/>
                <w:sz w:val="16"/>
              </w:rPr>
              <w:t xml:space="preserve">, </w:t>
            </w:r>
            <w:r>
              <w:rPr>
                <w:rFonts w:ascii="Aptos" w:hAnsi="Aptos"/>
                <w:color w:val="233648"/>
                <w:sz w:val="16"/>
              </w:rPr>
              <w:t>Nombre completo</w:t>
            </w:r>
            <w:r>
              <w:rPr>
                <w:rFonts w:ascii="Aptos" w:hAnsi="Aptos"/>
                <w:sz w:val="16"/>
              </w:rPr>
              <w:t xml:space="preserve">, </w:t>
            </w:r>
            <w:r>
              <w:rPr>
                <w:rFonts w:ascii="Aptos" w:hAnsi="Aptos"/>
                <w:color w:val="233648"/>
                <w:sz w:val="16"/>
              </w:rPr>
              <w:t>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color w:val="233648"/>
                <w:sz w:val="16"/>
              </w:rPr>
              <w:t>{{COLUMN:VDNI}}</w:t>
            </w:r>
            <w:r>
              <w:rPr>
                <w:rFonts w:ascii="Aptos" w:hAnsi="Aptos"/>
                <w:sz w:val="16"/>
              </w:rPr>
              <w:t xml:space="preserve">, </w:t>
            </w:r>
            <w:r>
              <w:rPr>
                <w:rFonts w:ascii="Aptos" w:hAnsi="Aptos"/>
                <w:color w:val="233648"/>
                <w:sz w:val="16"/>
              </w:rPr>
              <w:t>{{COLUMN:VNOM}}</w:t>
            </w:r>
            <w:r>
              <w:rPr>
                <w:rFonts w:ascii="Aptos" w:hAnsi="Aptos"/>
                <w:sz w:val="16"/>
              </w:rPr>
              <w:t xml:space="preserve">, </w:t>
            </w:r>
            <w:r>
              <w:rPr>
                <w:rFonts w:ascii="Aptos" w:hAnsi="Aptos"/>
                <w:color w:val="233648"/>
                <w:sz w:val="16"/>
              </w:rPr>
              <w:t>{{COLUMN:DEPARTAMENTO}}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Marcador</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{{REPORT_TITLE}}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Título recibido por el proceso APEX</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{{COLUMN:ALIAS}}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 xml:space="preserve">Columna tabular; </w:t>
            </w:r>
            <w:r>
              <w:rPr>
                <w:rFonts w:ascii="Aptos" w:hAnsi="Aptos"/>
                <w:color w:val="233648"/>
                <w:sz w:val="16"/>
              </w:rPr>
              <w:t>ALIAS</w:t>
            </w:r>
            <w:r>
              <w:rPr>
                <w:rFonts w:ascii="Aptos" w:hAnsi="Aptos"/>
                <w:sz w:val="16"/>
              </w:rPr>
              <w:t xml:space="preserve"> debe coincidir con el alias SQL</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{{FIELD:NOMBRE}}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Campo escalar declarado en </w:t>
            </w:r>
            <w:r>
              <w:rPr>
                <w:rFonts w:ascii="Aptos" w:hAnsi="Aptos"/>
                <w:color w:val="233648"/>
                <w:sz w:val="16"/>
              </w:rPr>
              <w:t>fields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{{APP_USER}}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Usuario actual de APEX</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{{GENERATED_AT}}</w:t>
            </w:r>
          </w:p>
        </w:tc>
        <w:tc>
          <w:tcPr>
            <w:tcW w:type="dxa" w:w="4986"/>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Ejemplo de encabezado: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w:t>
            </w:r>
            <w:r>
              <w:br/>
            </w:r>
            <w:r>
              <w:rPr>
                <w:rFonts w:ascii="Consolas" w:hAnsi="Consolas"/>
                <w:color w:val="233648"/>
                <w:sz w:val="16"/>
              </w:rPr>
              <w:t>Unidad: {{FIELD:UNIDAD}}</w:t>
            </w:r>
          </w:p>
        </w:tc>
      </w:tr>
    </w:tbl>
    <w:p>
      <w:r>
        <w:t>Ejemplo recomendado de pie: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Usuario: {{APP_USER}} | Fecha: {{GENERATED_AT}}</w:t>
            </w:r>
          </w:p>
        </w:tc>
      </w:tr>
    </w:tbl>
    <w:p>
      <w:pPr>
        <w:pStyle w:val="Heading2"/>
        <w:keepNext/>
      </w:pPr>
      <w:r>
        <w:t>4.3 Formato admitido</w:t>
      </w:r>
    </w:p>
    <w:p>
      <w:pPr>
        <w:spacing w:after="60"/>
        <w:ind w:left="369" w:hanging="255"/>
      </w:pPr>
      <w:r>
        <w:t xml:space="preserve">• </w:t>
      </w:r>
      <w:r>
        <w:t>Fuentes: Arial, Aptos, Calibri o Helvetica (se imprimen como Helvetica); Times New Roman, Cambria o Georgia (Times); Courier New o Consolas (Courier).</w:t>
      </w:r>
    </w:p>
    <w:p>
      <w:pPr>
        <w:spacing w:after="60"/>
        <w:ind w:left="369" w:hanging="255"/>
      </w:pPr>
      <w:r>
        <w:t xml:space="preserve">• </w:t>
      </w:r>
      <w:r>
        <w:t>Tamaño entre 6 y 24 puntos.</w:t>
      </w:r>
    </w:p>
    <w:p>
      <w:pPr>
        <w:spacing w:after="60"/>
        <w:ind w:left="369" w:hanging="255"/>
      </w:pPr>
      <w:r>
        <w:t xml:space="preserve">• </w:t>
      </w:r>
      <w:r>
        <w:t>Peso normal o negrita.</w:t>
      </w:r>
    </w:p>
    <w:p>
      <w:pPr>
        <w:spacing w:after="60"/>
        <w:ind w:left="369" w:hanging="255"/>
      </w:pPr>
      <w:r>
        <w:t xml:space="preserve">• </w:t>
      </w:r>
      <w:r>
        <w:t>Color de texto y fondo uniforme.</w:t>
      </w:r>
    </w:p>
    <w:p>
      <w:pPr>
        <w:spacing w:after="60"/>
        <w:ind w:left="369" w:hanging="255"/>
      </w:pPr>
      <w:r>
        <w:t xml:space="preserve">• </w:t>
      </w:r>
      <w:r>
        <w:t>Alineación izquierda, centrada o derecha.</w:t>
      </w:r>
    </w:p>
    <w:p>
      <w:pPr>
        <w:spacing w:after="60"/>
        <w:ind w:left="369" w:hanging="255"/>
      </w:pPr>
      <w:r>
        <w:t xml:space="preserve">• </w:t>
      </w:r>
      <w:r>
        <w:t>Bordes simples y uniformes.</w:t>
      </w:r>
    </w:p>
    <w:p>
      <w:pPr>
        <w:spacing w:after="60"/>
        <w:ind w:left="369" w:hanging="255"/>
      </w:pPr>
      <w:r>
        <w:t xml:space="preserve">• </w:t>
      </w:r>
      <w:r>
        <w:t xml:space="preserve">Orientación vertical u horizontal; también puede decidirse en APEX con </w:t>
      </w:r>
      <w:r>
        <w:rPr>
          <w:rFonts w:ascii="Consolas" w:hAnsi="Consolas"/>
          <w:color w:val="233648"/>
          <w:sz w:val="16"/>
        </w:rPr>
        <w:t>AUTO</w:t>
      </w:r>
      <w:r>
        <w:t>.</w:t>
      </w:r>
    </w:p>
    <w:p>
      <w:r>
        <w:t xml:space="preserve">El título se normaliza centrado y se repite como encabezado de página. El motor usa A4. El resultado no es una copia exacta de Word: Word solo expresa la intención visual y el PDF lo dibuja </w:t>
      </w:r>
      <w:r>
        <w:rPr>
          <w:rFonts w:ascii="Consolas" w:hAnsi="Consolas"/>
          <w:color w:val="233648"/>
          <w:sz w:val="16"/>
        </w:rPr>
        <w:t>APEX_DATA_EXPORT</w:t>
      </w:r>
      <w:r>
        <w:t xml:space="preserve"> con estilos uniformes por zona.</w:t>
      </w:r>
    </w:p>
    <w:p>
      <w:r>
        <w:t xml:space="preserve">Los anchos de columna que dibuje en Word </w:t>
      </w:r>
      <w:r>
        <w:rPr>
          <w:b/>
        </w:rPr>
        <w:t>no</w:t>
      </w:r>
      <w:r>
        <w:t xml:space="preserve"> se trasladan al reporte: son una ayuda visual. Defina los anchos en </w:t>
      </w:r>
      <w:r>
        <w:rPr>
          <w:rFonts w:ascii="Consolas" w:hAnsi="Consolas"/>
          <w:color w:val="233648"/>
          <w:sz w:val="16"/>
        </w:rPr>
        <w:t>column_widths</w:t>
      </w:r>
      <w:r>
        <w:t xml:space="preserve"> del proyecto (sección 6.4); una columna sin entrada recibe </w:t>
      </w:r>
      <w:r>
        <w:rPr>
          <w:rFonts w:ascii="Consolas" w:hAnsi="Consolas"/>
          <w:color w:val="233648"/>
          <w:sz w:val="16"/>
        </w:rPr>
        <w:t>WEIGHT</w:t>
      </w:r>
      <w:r>
        <w:t xml:space="preserve"> 1.</w:t>
      </w:r>
    </w:p>
    <w:p>
      <w:r>
        <w:t>Las etiquetas de la fila 1 admiten hasta 255 bytes (unas 127 letras acentuadas) y el encabezado y el pie hasta 4000 bytes.</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notas al pie, control de cambios (también los cambios de formato), texto oculto, etiquetas inteligentes ni controles de contenido. El compilador los rechaza para evitar resultados ambiguos y reducir riesgos.</w:t>
      </w:r>
    </w:p>
    <w:p>
      <w:r>
        <w:t>Si Word inserta un espacio de no separación dentro de un marcador (</w:t>
      </w:r>
      <w:r>
        <w:rPr>
          <w:rFonts w:ascii="Consolas" w:hAnsi="Consolas"/>
          <w:color w:val="233648"/>
          <w:sz w:val="16"/>
        </w:rPr>
        <w:t>{{ APP_USER}}</w:t>
      </w:r>
      <w:r>
        <w:t xml:space="preserve"> escrito con Ctrl+Mayús+Espacio), el marcador se rechaza: borre ese espacio y escriba el marcador sin espacios.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e.vdni          as vdni,</w:t>
            </w:r>
            <w:r>
              <w:br/>
            </w:r>
            <w:r>
              <w:rPr>
                <w:rFonts w:ascii="Consolas" w:hAnsi="Consolas"/>
                <w:color w:val="233648"/>
                <w:sz w:val="16"/>
              </w:rPr>
              <w:t xml:space="preserve">       e.vnom          as vnom,</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Nunca concatene el contenido de un Page Item dentro del texto SQL.</w:t>
      </w:r>
    </w:p>
    <w:p>
      <w:r>
        <w:t>Reglas adicionales que el compilador comprueba:</w:t>
      </w:r>
    </w:p>
    <w:p>
      <w:pPr>
        <w:spacing w:after="60"/>
        <w:ind w:left="369" w:hanging="255"/>
      </w:pPr>
      <w:r>
        <w:t xml:space="preserve">• </w:t>
      </w:r>
      <w:r>
        <w:t>puede empezar con comentarios (</w:t>
      </w:r>
      <w:r>
        <w:rPr>
          <w:rFonts w:ascii="Consolas" w:hAnsi="Consolas"/>
          <w:color w:val="233648"/>
          <w:sz w:val="16"/>
        </w:rPr>
        <w:t>/* ... */</w:t>
      </w:r>
      <w:r>
        <w:t xml:space="preserve"> o </w:t>
      </w:r>
      <w:r>
        <w:rPr>
          <w:rFonts w:ascii="Consolas" w:hAnsi="Consolas"/>
          <w:color w:val="233648"/>
          <w:sz w:val="16"/>
        </w:rPr>
        <w:t>-- ...</w:t>
      </w:r>
      <w:r>
        <w:t>) seguidos de saltos de línea;</w:t>
      </w:r>
    </w:p>
    <w:p>
      <w:pPr>
        <w:spacing w:after="60"/>
        <w:ind w:left="369" w:hanging="255"/>
      </w:pPr>
      <w:r>
        <w:t xml:space="preserve">• </w:t>
      </w:r>
      <w:r>
        <w:t xml:space="preserve">no use la sintaxis de sustitución </w:t>
      </w:r>
      <w:r>
        <w:rPr>
          <w:rFonts w:ascii="Consolas" w:hAnsi="Consolas"/>
          <w:color w:val="233648"/>
          <w:sz w:val="16"/>
        </w:rPr>
        <w:t>&amp;P42_ITEM.</w:t>
      </w:r>
      <w:r>
        <w:t xml:space="preserve">: es error fuera de literales. Dentro de un literal o comentario solo genera una advertencia, porque el código generado la conserva como texto y APEX no la sustituye. Use </w:t>
      </w:r>
      <w:r>
        <w:rPr>
          <w:rFonts w:ascii="Consolas" w:hAnsi="Consolas"/>
          <w:color w:val="233648"/>
          <w:sz w:val="16"/>
        </w:rPr>
        <w:t>:BIND</w:t>
      </w:r>
      <w:r>
        <w:t xml:space="preserve"> y su mapping;</w:t>
      </w:r>
    </w:p>
    <w:p>
      <w:pPr>
        <w:spacing w:after="60"/>
        <w:ind w:left="369" w:hanging="255"/>
      </w:pPr>
      <w:r>
        <w:t xml:space="preserve">• </w:t>
      </w:r>
      <w:r>
        <w:t xml:space="preserve">no use </w:t>
      </w:r>
      <w:r>
        <w:rPr>
          <w:rFonts w:ascii="Consolas" w:hAnsi="Consolas"/>
          <w:color w:val="233648"/>
          <w:sz w:val="16"/>
        </w:rPr>
        <w:t>SELECT ... INTO</w:t>
      </w:r>
      <w:r>
        <w:t xml:space="preserve">, </w:t>
      </w:r>
      <w:r>
        <w:rPr>
          <w:rFonts w:ascii="Consolas" w:hAnsi="Consolas"/>
          <w:color w:val="233648"/>
          <w:sz w:val="16"/>
        </w:rPr>
        <w:t>FOR UPDATE</w:t>
      </w:r>
      <w:r>
        <w:t xml:space="preserve">, punto y coma ni la barra </w:t>
      </w:r>
      <w:r>
        <w:rPr>
          <w:rFonts w:ascii="Consolas" w:hAnsi="Consolas"/>
          <w:color w:val="233648"/>
          <w:sz w:val="16"/>
        </w:rPr>
        <w:t>/</w:t>
      </w:r>
      <w:r>
        <w:t xml:space="preserve"> de SQL*Plus;</w:t>
      </w:r>
    </w:p>
    <w:p>
      <w:pPr>
        <w:spacing w:after="60"/>
        <w:ind w:left="369" w:hanging="255"/>
      </w:pPr>
      <w:r>
        <w:t xml:space="preserve">• </w:t>
      </w:r>
      <w:r>
        <w:t>no use como bind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:REQUEST</w:t>
      </w:r>
      <w:r>
        <w:t xml:space="preserve">…). Para imprimir el usuario use </w:t>
      </w:r>
      <w:r>
        <w:rPr>
          <w:rFonts w:ascii="Consolas" w:hAnsi="Consolas"/>
          <w:color w:val="233648"/>
          <w:sz w:val="16"/>
        </w:rPr>
        <w:t>{{APP_USER}}</w:t>
      </w:r>
      <w:r>
        <w:t>.</w:t>
      </w:r>
    </w:p>
    <w:p>
      <w:pPr>
        <w:pStyle w:val="Heading2"/>
        <w:keepNext/>
      </w:pPr>
      <w:r>
        <w:t>5.1 LOV: imprimir el display value</w:t>
      </w:r>
    </w:p>
    <w:p>
      <w:r>
        <w:t>El modo SQL no intenta leer la configuración interna de un LOV del Interactive Grid.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Crear el archivo de proyecto</w:t>
      </w:r>
    </w:p>
    <w:p>
      <w:r>
        <w:t xml:space="preserve">El archivo </w:t>
      </w:r>
      <w:r>
        <w:rPr>
          <w:rFonts w:ascii="Consolas" w:hAnsi="Consolas"/>
          <w:color w:val="233648"/>
          <w:sz w:val="16"/>
        </w:rPr>
        <w:t>nombre.report.json</w:t>
      </w:r>
      <w:r>
        <w:t xml:space="preserve"> relaciona el DOCX y el SQL. Las rutas son relativas y deben permanecer dentro de la carpeta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w:t>
            </w:r>
            <w:r>
              <w:br/>
            </w:r>
            <w:r>
              <w:rPr>
                <w:rFonts w:ascii="Consolas" w:hAnsi="Consolas"/>
                <w:color w:val="233648"/>
                <w:sz w:val="16"/>
              </w:rPr>
              <w:t xml:space="preserve">  "report_id": "ENTIDADES",</w:t>
            </w:r>
            <w:r>
              <w:br/>
            </w:r>
            <w:r>
              <w:rPr>
                <w:rFonts w:ascii="Consolas" w:hAnsi="Consolas"/>
                <w:color w:val="233648"/>
                <w:sz w:val="16"/>
              </w:rPr>
              <w:t xml:space="preserve">  "template": "entidades.docx",</w:t>
            </w:r>
            <w:r>
              <w:br/>
            </w:r>
            <w:r>
              <w:rPr>
                <w:rFonts w:ascii="Consolas" w:hAnsi="Consolas"/>
                <w:color w:val="233648"/>
                <w:sz w:val="16"/>
              </w:rPr>
              <w:t xml:space="preserve">  "query_file": "entidades.sql",</w:t>
            </w:r>
            <w:r>
              <w:br/>
            </w:r>
            <w:r>
              <w:rPr>
                <w:rFonts w:ascii="Consolas" w:hAnsi="Consolas"/>
                <w:color w:val="233648"/>
                <w:sz w:val="16"/>
              </w:rPr>
              <w:t xml:space="preserve">  "title": "Relación de entidades",</w:t>
            </w:r>
            <w:r>
              <w:br/>
            </w:r>
            <w:r>
              <w:rPr>
                <w:rFonts w:ascii="Consolas" w:hAnsi="Consolas"/>
                <w:color w:val="233648"/>
                <w:sz w:val="16"/>
              </w:rPr>
              <w:t xml:space="preserve">  "file_name": "reporte_entidades",</w:t>
            </w:r>
            <w:r>
              <w:br/>
            </w:r>
            <w:r>
              <w:rPr>
                <w:rFonts w:ascii="Consolas" w:hAnsi="Consolas"/>
                <w:color w:val="233648"/>
                <w:sz w:val="16"/>
              </w:rPr>
              <w:t xml:space="preserve">  "orientation": "LANDSCAPE",</w:t>
            </w:r>
            <w:r>
              <w:br/>
            </w:r>
            <w:r>
              <w:rPr>
                <w:rFonts w:ascii="Consolas" w:hAnsi="Consolas"/>
                <w:color w:val="233648"/>
                <w:sz w:val="16"/>
              </w:rPr>
              <w:t xml:space="preserve">  "format_item": "P0_REPORT_FORMAT",</w:t>
            </w:r>
            <w:r>
              <w:br/>
            </w:r>
            <w:r>
              <w:rPr>
                <w:rFonts w:ascii="Consolas" w:hAnsi="Consolas"/>
                <w:color w:val="233648"/>
                <w:sz w:val="16"/>
              </w:rPr>
              <w:t xml:space="preserve">  "orientation_item": "P0_REPORT_ORIENTATION",</w:t>
            </w:r>
            <w:r>
              <w:br/>
            </w:r>
            <w:r>
              <w:rPr>
                <w:rFonts w:ascii="Consolas" w:hAnsi="Consolas"/>
                <w:color w:val="233648"/>
                <w:sz w:val="16"/>
              </w:rPr>
              <w:t xml:space="preserve">  "max_rows": 2000,</w:t>
            </w:r>
            <w:r>
              <w:br/>
            </w:r>
            <w:r>
              <w:rPr>
                <w:rFonts w:ascii="Consolas" w:hAnsi="Consolas"/>
                <w:color w:val="233648"/>
                <w:sz w:val="16"/>
              </w:rPr>
              <w:t xml:space="preserve">  "bindings": [</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w:t>
            </w:r>
            <w:r>
              <w:br/>
            </w:r>
            <w:r>
              <w:rPr>
                <w:rFonts w:ascii="Consolas" w:hAnsi="Consolas"/>
                <w:color w:val="233648"/>
                <w:sz w:val="16"/>
              </w:rPr>
              <w:t xml:space="preserve">  "excluded_columns": [],</w:t>
            </w:r>
            <w:r>
              <w:br/>
            </w:r>
            <w:r>
              <w:rPr>
                <w:rFonts w:ascii="Consolas" w:hAnsi="Consolas"/>
                <w:color w:val="233648"/>
                <w:sz w:val="16"/>
              </w:rPr>
              <w:t xml:space="preserve">  "column_widths": [</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rPr>
          <w:rFonts w:ascii="Consolas" w:hAnsi="Consolas"/>
          <w:color w:val="233648"/>
          <w:sz w:val="16"/>
        </w:rPr>
        <w:t>format_item</w:t>
      </w:r>
      <w:r>
        <w:t xml:space="preserve"> y </w:t>
      </w:r>
      <w:r>
        <w:rPr>
          <w:rFonts w:ascii="Consolas" w:hAnsi="Consolas"/>
          <w:color w:val="233648"/>
          <w:sz w:val="16"/>
        </w:rPr>
        <w:t>orientation_item</w:t>
      </w:r>
      <w:r>
        <w:t xml:space="preserve"> son opcionales. Si los declara, el usuario podrá elegir formato u orientación en la página (sección 9); si los omite, el reporte usa PDF y la orientación compilada. Sin </w:t>
      </w:r>
      <w:r>
        <w:rPr>
          <w:rFonts w:ascii="Consolas" w:hAnsi="Consolas"/>
          <w:color w:val="233648"/>
          <w:sz w:val="16"/>
        </w:rPr>
        <w:t>orientation</w:t>
      </w:r>
      <w:r>
        <w:t xml:space="preserve">, se usa la orientación de la página Word; declare </w:t>
      </w:r>
      <w:r>
        <w:rPr>
          <w:rFonts w:ascii="Consolas" w:hAnsi="Consolas"/>
          <w:color w:val="233648"/>
          <w:sz w:val="16"/>
        </w:rPr>
        <w:t>"AUTO"</w:t>
      </w:r>
      <w:r>
        <w:t xml:space="preserve"> para que APEX elija vertical hasta tres columnas y horizontal con cuatro o más.</w:t>
      </w:r>
    </w:p>
    <w:p>
      <w:r>
        <w:rPr>
          <w:rFonts w:ascii="Consolas" w:hAnsi="Consolas"/>
          <w:color w:val="233648"/>
          <w:sz w:val="16"/>
        </w:rPr>
        <w:t>style_overrides</w:t>
      </w:r>
      <w:r>
        <w:t xml:space="preserve"> permite ajustar estilos sin editar el Word; sus zonas y claves están en el contrato técnico (sección 7.1). Úselo solo cuando sea necesario.</w:t>
      </w:r>
    </w:p>
    <w:p>
      <w:r>
        <w:t>Límites que el compilador valida antes de generar PL/SQL:</w:t>
      </w:r>
    </w:p>
    <w:p>
      <w:pPr>
        <w:spacing w:after="60"/>
        <w:ind w:left="369" w:hanging="255"/>
      </w:pPr>
      <w:r>
        <w:t xml:space="preserve">• </w:t>
      </w:r>
      <w:r>
        <w:rPr>
          <w:rFonts w:ascii="Consolas" w:hAnsi="Consolas"/>
          <w:color w:val="233648"/>
          <w:sz w:val="16"/>
        </w:rPr>
        <w:t>title</w:t>
      </w:r>
      <w:r>
        <w:t>: máximo 255 bytes UTF-8;</w:t>
      </w:r>
    </w:p>
    <w:p>
      <w:pPr>
        <w:spacing w:after="60"/>
        <w:ind w:left="369" w:hanging="255"/>
      </w:pPr>
      <w:r>
        <w:t xml:space="preserve">• </w:t>
      </w: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spacing w:after="60"/>
        <w:ind w:left="369" w:hanging="255"/>
      </w:pPr>
      <w:r>
        <w:t xml:space="preserve">• </w:t>
      </w:r>
      <w:r>
        <w:t>constantes y máscaras de formato: máximo 4000 bytes UTF-8;</w:t>
      </w:r>
    </w:p>
    <w:p>
      <w:pPr>
        <w:spacing w:after="60"/>
        <w:ind w:left="369" w:hanging="255"/>
      </w:pPr>
      <w:r>
        <w:t xml:space="preserve">• </w:t>
      </w: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bind</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Nombre sin dos puntos, por ejemplo </w:t>
            </w:r>
            <w:r>
              <w:rPr>
                <w:rFonts w:ascii="Aptos" w:hAnsi="Aptos"/>
                <w:color w:val="233648"/>
                <w:sz w:val="16"/>
              </w:rPr>
              <w:t>FECHA_DESDE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item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 xml:space="preserve">Page Item, por ejemplo </w:t>
            </w:r>
            <w:r>
              <w:rPr>
                <w:rFonts w:ascii="Aptos" w:hAnsi="Aptos"/>
                <w:color w:val="233648"/>
                <w:sz w:val="16"/>
              </w:rPr>
              <w:t>P42_FECHA_DESDE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type</w:t>
            </w:r>
          </w:p>
        </w:tc>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VARCHAR2</w:t>
            </w:r>
            <w:r>
              <w:rPr>
                <w:rFonts w:ascii="Aptos" w:hAnsi="Aptos"/>
                <w:sz w:val="16"/>
              </w:rPr>
              <w:t xml:space="preserve">, </w:t>
            </w:r>
            <w:r>
              <w:rPr>
                <w:rFonts w:ascii="Aptos" w:hAnsi="Aptos"/>
                <w:color w:val="233648"/>
                <w:sz w:val="16"/>
              </w:rPr>
              <w:t>NUMBER</w:t>
            </w:r>
            <w:r>
              <w:rPr>
                <w:rFonts w:ascii="Aptos" w:hAnsi="Aptos"/>
                <w:sz w:val="16"/>
              </w:rPr>
              <w:t xml:space="preserve">, </w:t>
            </w:r>
            <w:r>
              <w:rPr>
                <w:rFonts w:ascii="Aptos" w:hAnsi="Aptos"/>
                <w:color w:val="233648"/>
                <w:sz w:val="16"/>
              </w:rPr>
              <w:t>DATE</w:t>
            </w:r>
            <w:r>
              <w:rPr>
                <w:rFonts w:ascii="Aptos" w:hAnsi="Aptos"/>
                <w:sz w:val="16"/>
              </w:rPr>
              <w:t xml:space="preserve"> o </w:t>
            </w:r>
            <w:r>
              <w:rPr>
                <w:rFonts w:ascii="Aptos" w:hAnsi="Aptos"/>
                <w:color w:val="233648"/>
                <w:sz w:val="16"/>
              </w:rPr>
              <w:t>TIMESTAMP</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required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 xml:space="preserve">Si </w:t>
            </w:r>
            <w:r>
              <w:rPr>
                <w:rFonts w:ascii="Aptos" w:hAnsi="Aptos"/>
                <w:color w:val="233648"/>
                <w:sz w:val="16"/>
              </w:rPr>
              <w:t>true</w:t>
            </w:r>
            <w:r>
              <w:rPr>
                <w:rFonts w:ascii="Aptos" w:hAnsi="Aptos"/>
                <w:sz w:val="16"/>
              </w:rPr>
              <w:t>,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 xml:space="preserve">Obligatorio para </w:t>
            </w:r>
            <w:r>
              <w:rPr>
                <w:rFonts w:ascii="Aptos" w:hAnsi="Aptos"/>
                <w:color w:val="233648"/>
                <w:sz w:val="16"/>
              </w:rPr>
              <w:t>DATE</w:t>
            </w:r>
            <w:r>
              <w:rPr>
                <w:rFonts w:ascii="Aptos" w:hAnsi="Aptos"/>
                <w:sz w:val="16"/>
              </w:rPr>
              <w:t xml:space="preserve"> y </w:t>
            </w:r>
            <w:r>
              <w:rPr>
                <w:rFonts w:ascii="Aptos" w:hAnsi="Aptos"/>
                <w:color w:val="233648"/>
                <w:sz w:val="16"/>
              </w:rPr>
              <w:t>TIMESTAMP</w:t>
            </w:r>
            <w:r>
              <w:rPr>
                <w:rFonts w:ascii="Aptos" w:hAnsi="Aptos"/>
                <w:sz w:val="16"/>
              </w:rPr>
              <w:t xml:space="preserve">, por ejemplo </w:t>
            </w:r>
            <w:r>
              <w:rPr>
                <w:rFonts w:ascii="Aptos" w:hAnsi="Aptos"/>
                <w:color w:val="233648"/>
                <w:sz w:val="16"/>
              </w:rPr>
              <w:t>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rPr>
          <w:rFonts w:ascii="Consolas" w:hAnsi="Consolas"/>
          <w:color w:val="233648"/>
          <w:sz w:val="16"/>
        </w:rPr>
        <w:t>max_rows</w:t>
      </w:r>
      <w:r>
        <w:t xml:space="preserve"> es un límite de salida, no una comprobación de totalidad: si la consulta devuelve más filas, APEX exportará como máximo esa cantidad. Defina un valor acorde con el reporte y filtros que eviten resultados ambiguamente truncados.</w:t>
      </w:r>
    </w:p>
    <w:p>
      <w:r>
        <w:t>Ejemplo de fecha: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w:t>
            </w:r>
            <w:r>
              <w:br/>
            </w:r>
            <w:r>
              <w:rPr>
                <w:rFonts w:ascii="Consolas" w:hAnsi="Consolas"/>
                <w:color w:val="233648"/>
                <w:sz w:val="16"/>
              </w:rPr>
              <w:t xml:space="preserve">  "item": "P42_FECHA_DESDE",</w:t>
            </w:r>
            <w:r>
              <w:br/>
            </w:r>
            <w:r>
              <w:rPr>
                <w:rFonts w:ascii="Consolas" w:hAnsi="Consolas"/>
                <w:color w:val="233648"/>
                <w:sz w:val="16"/>
              </w:rPr>
              <w:t xml:space="preserve">  "type": "DATE",</w:t>
            </w:r>
            <w:r>
              <w:br/>
            </w:r>
            <w:r>
              <w:rPr>
                <w:rFonts w:ascii="Consolas" w:hAnsi="Consolas"/>
                <w:color w:val="233648"/>
                <w:sz w:val="16"/>
              </w:rPr>
              <w:t xml:space="preserve">  "format_mask": "DD/MM/YYYY",</w:t>
            </w:r>
            <w:r>
              <w:br/>
            </w:r>
            <w:r>
              <w:rPr>
                <w:rFonts w:ascii="Consolas" w:hAnsi="Consolas"/>
                <w:color w:val="233648"/>
                <w:sz w:val="16"/>
              </w:rPr>
              <w:t xml:space="preserve">  "required": false</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{"name":"UNIDAD", "source":"CONSTANT", "value":"Oficina de Informática"}</w:t>
            </w:r>
            <w:r>
              <w:br/>
            </w:r>
            <w:r>
              <w:rPr>
                <w:rFonts w:ascii="Consolas" w:hAnsi="Consolas"/>
                <w:color w:val="233648"/>
                <w:sz w:val="16"/>
              </w:rPr>
              <w:t>]</w:t>
            </w:r>
          </w:p>
        </w:tc>
      </w:tr>
    </w:tbl>
    <w:p>
      <w:r>
        <w:t xml:space="preserve">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WEIGHT</w:t>
      </w:r>
      <w:r>
        <w:t xml:space="preserve"> admite valores mayores que 0 y hasta 1000. </w:t>
      </w:r>
      <w:r>
        <w:rPr>
          <w:rFonts w:ascii="Consolas" w:hAnsi="Consolas"/>
          <w:color w:val="233648"/>
          <w:sz w:val="16"/>
        </w:rPr>
        <w:t>AUTO</w:t>
      </w:r>
      <w:r>
        <w:t xml:space="preserve"> es una sugerencia al renderizador, no una garantía matemática.</w:t>
      </w:r>
    </w:p>
    <w:p>
      <w:pPr>
        <w:pStyle w:val="Heading1"/>
        <w:keepNext/>
      </w:pPr>
      <w:r>
        <w:t>7. Validar y compilar</w:t>
      </w:r>
    </w:p>
    <w:p>
      <w:r>
        <w:t>Valide primero,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validate `</w:t>
            </w:r>
            <w:r>
              <w:br/>
            </w:r>
            <w:r>
              <w:rPr>
                <w:rFonts w:ascii="Consolas" w:hAnsi="Consolas"/>
                <w:color w:val="233648"/>
                <w:sz w:val="16"/>
              </w:rPr>
              <w:t xml:space="preserve">  --project .\mi_reporte\mi_reporte.report.json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compile `</w:t>
            </w:r>
            <w:r>
              <w:br/>
            </w:r>
            <w:r>
              <w:rPr>
                <w:rFonts w:ascii="Consolas" w:hAnsi="Consolas"/>
                <w:color w:val="233648"/>
                <w:sz w:val="16"/>
              </w:rPr>
              <w:t xml:space="preserve">  --project .\mi_reporte\mi_reporte.report.json `</w:t>
            </w:r>
            <w:r>
              <w:br/>
            </w:r>
            <w:r>
              <w:rPr>
                <w:rFonts w:ascii="Consolas" w:hAnsi="Consolas"/>
                <w:color w:val="233648"/>
                <w:sz w:val="16"/>
              </w:rPr>
              <w:t xml:space="preserve">  --output .\build\mi_reporte</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 Para integrar la herramienta en automatización, </w:t>
      </w:r>
      <w:r>
        <w:rPr>
          <w:rFonts w:ascii="Consolas" w:hAnsi="Consolas"/>
          <w:color w:val="233648"/>
          <w:sz w:val="16"/>
        </w:rPr>
        <w:t>--json</w:t>
      </w:r>
      <w:r>
        <w:t xml:space="preserve"> emite diagnósticos estructurados.</w:t>
      </w:r>
    </w:p>
    <w:p>
      <w:r>
        <w:t>La compilación genera: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w:t>
            </w:r>
          </w:p>
        </w:tc>
      </w:tr>
    </w:tbl>
    <w:p>
      <w:pPr>
        <w:spacing w:after="20"/>
      </w:pPr>
    </w:p>
    <w:p>
      <w:r>
        <w:t xml:space="preserve">Si una compilación falla, no reemplaza una salida válida anterior. La carpeta de salida no puede ser la misma que contiene el </w:t>
      </w:r>
      <w:r>
        <w:rPr>
          <w:rFonts w:ascii="Consolas" w:hAnsi="Consolas"/>
          <w:color w:val="233648"/>
          <w:sz w:val="16"/>
        </w:rPr>
        <w:t>.sql</w:t>
      </w:r>
      <w:r>
        <w:t xml:space="preserve"> o el </w:t>
      </w:r>
      <w:r>
        <w:rPr>
          <w:rFonts w:ascii="Consolas" w:hAnsi="Consolas"/>
          <w:color w:val="233648"/>
          <w:sz w:val="16"/>
        </w:rPr>
        <w:t>.report.json</w:t>
      </w:r>
      <w:r>
        <w:t xml:space="preserve"> si eso sobrescribiría un archivo fuente; use, por ejemplo, </w:t>
      </w:r>
      <w:r>
        <w:rPr>
          <w:rFonts w:ascii="Consolas" w:hAnsi="Consolas"/>
          <w:color w:val="233648"/>
          <w:sz w:val="16"/>
        </w:rPr>
        <w:t>.\build\mi_reporte</w:t>
      </w:r>
      <w:r>
        <w:t>.</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@sql/install.sql</w:t>
            </w:r>
          </w:p>
        </w:tc>
      </w:tr>
    </w:tbl>
    <w:p>
      <w:r>
        <w:t xml:space="preserve">Desde SQL Workshop cargue y ejecute </w:t>
      </w:r>
      <w:r>
        <w:rPr>
          <w:rFonts w:ascii="Consolas" w:hAnsi="Consolas"/>
          <w:color w:val="233648"/>
          <w:sz w:val="16"/>
        </w:rPr>
        <w:t>sql/pkg_corporate_reports.sql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r>
        <w:t xml:space="preserve">Solo dos cosas llegan a APEX: </w:t>
      </w:r>
      <w:r>
        <w:rPr>
          <w:rFonts w:ascii="Consolas" w:hAnsi="Consolas"/>
          <w:color w:val="233648"/>
          <w:sz w:val="16"/>
        </w:rPr>
        <w:t>sql/pkg_corporate_reports.sql</w:t>
      </w:r>
      <w:r>
        <w:t xml:space="preserve"> (una vez por esquema, sección 8) y el contenido de </w:t>
      </w:r>
      <w:r>
        <w:rPr>
          <w:rFonts w:ascii="Consolas" w:hAnsi="Consolas"/>
          <w:color w:val="233648"/>
          <w:sz w:val="16"/>
        </w:rPr>
        <w:t>apex_process.sql</w:t>
      </w:r>
      <w:r>
        <w:t xml:space="preserve"> (una vez por reporte). El DOCX, el </w:t>
      </w:r>
      <w:r>
        <w:rPr>
          <w:rFonts w:ascii="Consolas" w:hAnsi="Consolas"/>
          <w:color w:val="233648"/>
          <w:sz w:val="16"/>
        </w:rPr>
        <w:t>.report.json</w:t>
      </w:r>
      <w:r>
        <w:t xml:space="preserve">, el </w:t>
      </w:r>
      <w:r>
        <w:rPr>
          <w:rFonts w:ascii="Consolas" w:hAnsi="Consolas"/>
          <w:color w:val="233648"/>
          <w:sz w:val="16"/>
        </w:rPr>
        <w:t>.sql</w:t>
      </w:r>
      <w:r>
        <w:t xml:space="preserve"> fuente, </w:t>
      </w:r>
      <w:r>
        <w:rPr>
          <w:rFonts w:ascii="Consolas" w:hAnsi="Consolas"/>
          <w:color w:val="233648"/>
          <w:sz w:val="16"/>
        </w:rPr>
        <w:t>template.json</w:t>
      </w:r>
      <w:r>
        <w:t xml:space="preserve"> y </w:t>
      </w:r>
      <w:r>
        <w:rPr>
          <w:rFonts w:ascii="Consolas" w:hAnsi="Consolas"/>
          <w:color w:val="233648"/>
          <w:sz w:val="16"/>
        </w:rPr>
        <w:t>validation.json</w:t>
      </w:r>
      <w:r>
        <w:t xml:space="preserve"> se quedan en el repositorio. La interfaz gráfica muestra esta misma receta con los nombres reales del reporte al compilar.</w:t>
      </w:r>
    </w:p>
    <w:p>
      <w:pPr>
        <w:pStyle w:val="Heading2"/>
        <w:keepNext/>
      </w:pPr>
      <w:r>
        <w:t>9.1 Page Items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Item</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Dónde</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Tipo recomendado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Valores</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 xml:space="preserve">Cada </w:t>
            </w:r>
            <w:r>
              <w:rPr>
                <w:rFonts w:ascii="Aptos" w:hAnsi="Aptos"/>
                <w:color w:val="233648"/>
                <w:sz w:val="16"/>
              </w:rPr>
              <w:t>bindings[].item</w:t>
            </w:r>
            <w:r>
              <w:rPr>
                <w:rFonts w:ascii="Aptos" w:hAnsi="Aptos"/>
                <w:sz w:val="16"/>
              </w:rPr>
              <w:t xml:space="preserve"> (por ejemplo </w:t>
            </w:r>
            <w:r>
              <w:rPr>
                <w:rFonts w:ascii="Aptos" w:hAnsi="Aptos"/>
                <w:color w:val="233648"/>
                <w:sz w:val="16"/>
              </w:rPr>
              <w:t>P42_DNI</w:t>
            </w:r>
            <w:r>
              <w:rPr>
                <w:rFonts w:ascii="Aptos" w:hAnsi="Aptos"/>
                <w:sz w:val="16"/>
              </w:rPr>
              <w:t>)</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 Field, Number Field o Select List (con LOV: el return value)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según el filtro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 xml:space="preserve">Item </w:t>
            </w:r>
            <w:r>
              <w:rPr>
                <w:rFonts w:ascii="Aptos" w:hAnsi="Aptos"/>
                <w:color w:val="233648"/>
                <w:sz w:val="16"/>
              </w:rPr>
              <w:t>DATE</w:t>
            </w:r>
            <w:r>
              <w:rPr>
                <w:rFonts w:ascii="Aptos" w:hAnsi="Aptos"/>
                <w:sz w:val="16"/>
              </w:rPr>
              <w:t>/</w:t>
            </w:r>
            <w:r>
              <w:rPr>
                <w:rFonts w:ascii="Aptos" w:hAnsi="Aptos"/>
                <w:color w:val="233648"/>
                <w:sz w:val="16"/>
              </w:rPr>
              <w:t>TIMESTAMP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Date Picker</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 xml:space="preserve">misma máscara que </w:t>
            </w:r>
            <w:r>
              <w:rPr>
                <w:rFonts w:ascii="Aptos" w:hAnsi="Aptos"/>
                <w:color w:val="233648"/>
                <w:sz w:val="16"/>
              </w:rPr>
              <w:t>format_mask</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 xml:space="preserve">Cada </w:t>
            </w:r>
            <w:r>
              <w:rPr>
                <w:rFonts w:ascii="Aptos" w:hAnsi="Aptos"/>
                <w:color w:val="233648"/>
                <w:sz w:val="16"/>
              </w:rPr>
              <w:t>fields[].item</w:t>
            </w:r>
            <w:r>
              <w:rPr>
                <w:rFonts w:ascii="Aptos" w:hAnsi="Aptos"/>
                <w:sz w:val="16"/>
              </w:rPr>
              <w:t xml:space="preserve"> de origen </w:t>
            </w:r>
            <w:r>
              <w:rPr>
                <w:rFonts w:ascii="Aptos" w:hAnsi="Aptos"/>
                <w:color w:val="233648"/>
                <w:sz w:val="16"/>
              </w:rPr>
              <w:t>ITEM</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el que corresponda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texto para encabezado o pie</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color w:val="233648"/>
                <w:sz w:val="16"/>
              </w:rPr>
              <w:t>format_item</w:t>
            </w:r>
            <w:r>
              <w:rPr>
                <w:rFonts w:ascii="Aptos" w:hAnsi="Aptos"/>
                <w:sz w:val="16"/>
              </w:rPr>
              <w:t xml:space="preserve"> (por ejemplo </w:t>
            </w:r>
            <w:r>
              <w:rPr>
                <w:rFonts w:ascii="Aptos" w:hAnsi="Aptos"/>
                <w:color w:val="233648"/>
                <w:sz w:val="16"/>
              </w:rPr>
              <w:t>P0_REPORT_FORMAT</w:t>
            </w:r>
            <w:r>
              <w:rPr>
                <w:rFonts w:ascii="Aptos" w:hAnsi="Aptos"/>
                <w:sz w:val="16"/>
              </w:rPr>
              <w:t>)</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0 (Global Page)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Select List o Radio Group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 xml:space="preserve">retorno exacto </w:t>
            </w:r>
            <w:r>
              <w:rPr>
                <w:rFonts w:ascii="Aptos" w:hAnsi="Aptos"/>
                <w:color w:val="233648"/>
                <w:sz w:val="16"/>
              </w:rPr>
              <w:t>PDF</w:t>
            </w:r>
            <w:r>
              <w:rPr>
                <w:rFonts w:ascii="Aptos" w:hAnsi="Aptos"/>
                <w:sz w:val="16"/>
              </w:rPr>
              <w:t xml:space="preserve"> o </w:t>
            </w:r>
            <w:r>
              <w:rPr>
                <w:rFonts w:ascii="Aptos" w:hAnsi="Aptos"/>
                <w:color w:val="233648"/>
                <w:sz w:val="16"/>
              </w:rPr>
              <w:t>XLSX</w:t>
            </w:r>
            <w:r>
              <w:rPr>
                <w:rFonts w:ascii="Aptos" w:hAnsi="Aptos"/>
                <w:sz w:val="16"/>
              </w:rPr>
              <w:t xml:space="preserve">; por defecto </w:t>
            </w:r>
            <w:r>
              <w:rPr>
                <w:rFonts w:ascii="Aptos" w:hAnsi="Aptos"/>
                <w:color w:val="233648"/>
                <w:sz w:val="16"/>
              </w:rPr>
              <w:t>PDF</w:t>
            </w:r>
          </w:p>
        </w:tc>
      </w:tr>
      <w:tr>
        <w:trPr>
          <w:cantSplit w:val="true"/>
        </w:trPr>
        <w:tc>
          <w:tcPr>
            <w:tcW w:type="dxa" w:w="2493"/>
            <w:vAlign w:val="center"/>
            <w:tcMar>
              <w:top w:w="90" w:type="dxa"/>
              <w:start w:w="110" w:type="dxa"/>
              <w:bottom w:w="90" w:type="dxa"/>
              <w:end w:w="110" w:type="dxa"/>
            </w:tcMar>
            <w:shd w:fill="FFFFFF"/>
          </w:tcPr>
          <w:p>
            <w:pPr>
              <w:spacing w:after="0"/>
            </w:pPr>
            <w:r>
              <w:rPr>
                <w:rFonts w:ascii="Aptos" w:hAnsi="Aptos"/>
                <w:color w:val="233648"/>
                <w:sz w:val="16"/>
              </w:rPr>
              <w:t>orientation_item</w:t>
            </w:r>
            <w:r>
              <w:rPr>
                <w:rFonts w:ascii="Aptos" w:hAnsi="Aptos"/>
                <w:sz w:val="16"/>
              </w:rPr>
              <w:t xml:space="preserve"> (por ejemplo </w:t>
            </w:r>
            <w:r>
              <w:rPr>
                <w:rFonts w:ascii="Aptos" w:hAnsi="Aptos"/>
                <w:color w:val="233648"/>
                <w:sz w:val="16"/>
              </w:rPr>
              <w:t>P0_REPORT_ORIENTATION</w:t>
            </w:r>
            <w:r>
              <w:rPr>
                <w:rFonts w:ascii="Aptos" w:hAnsi="Aptos"/>
                <w:sz w:val="16"/>
              </w:rPr>
              <w:t>)</w:t>
            </w:r>
          </w:p>
        </w:tc>
        <w:tc>
          <w:tcPr>
            <w:tcW w:type="dxa" w:w="2493"/>
            <w:vAlign w:val="center"/>
            <w:tcMar>
              <w:top w:w="90" w:type="dxa"/>
              <w:start w:w="110" w:type="dxa"/>
              <w:bottom w:w="90" w:type="dxa"/>
              <w:end w:w="110" w:type="dxa"/>
            </w:tcMar>
            <w:shd w:fill="FFFFFF"/>
          </w:tcPr>
          <w:p>
            <w:pPr>
              <w:spacing w:after="0"/>
            </w:pPr>
            <w:r>
              <w:rPr>
                <w:rFonts w:ascii="Aptos" w:hAnsi="Aptos"/>
                <w:sz w:val="16"/>
              </w:rPr>
              <w:t>página 0 (Global Page)</w:t>
            </w:r>
          </w:p>
        </w:tc>
        <w:tc>
          <w:tcPr>
            <w:tcW w:type="dxa" w:w="2493"/>
            <w:vAlign w:val="center"/>
            <w:tcMar>
              <w:top w:w="90" w:type="dxa"/>
              <w:start w:w="110" w:type="dxa"/>
              <w:bottom w:w="90" w:type="dxa"/>
              <w:end w:w="110" w:type="dxa"/>
            </w:tcMar>
            <w:shd w:fill="FFFFFF"/>
          </w:tcPr>
          <w:p>
            <w:pPr>
              <w:spacing w:after="0"/>
            </w:pPr>
            <w:r>
              <w:rPr>
                <w:rFonts w:ascii="Aptos" w:hAnsi="Aptos"/>
                <w:sz w:val="16"/>
              </w:rPr>
              <w:t>Select List o Radio Group</w:t>
            </w:r>
          </w:p>
        </w:tc>
        <w:tc>
          <w:tcPr>
            <w:tcW w:type="dxa" w:w="2493"/>
            <w:vAlign w:val="center"/>
            <w:tcMar>
              <w:top w:w="90" w:type="dxa"/>
              <w:start w:w="110" w:type="dxa"/>
              <w:bottom w:w="90" w:type="dxa"/>
              <w:end w:w="110" w:type="dxa"/>
            </w:tcMar>
            <w:shd w:fill="FFFFFF"/>
          </w:tcPr>
          <w:p>
            <w:pPr>
              <w:spacing w:after="0"/>
            </w:pPr>
            <w:r>
              <w:rPr>
                <w:rFonts w:ascii="Aptos" w:hAnsi="Aptos"/>
                <w:sz w:val="16"/>
              </w:rPr>
              <w:t xml:space="preserve">retorno exacto </w:t>
            </w:r>
            <w:r>
              <w:rPr>
                <w:rFonts w:ascii="Aptos" w:hAnsi="Aptos"/>
                <w:color w:val="233648"/>
                <w:sz w:val="16"/>
              </w:rPr>
              <w:t>AUTO</w:t>
            </w:r>
            <w:r>
              <w:rPr>
                <w:rFonts w:ascii="Aptos" w:hAnsi="Aptos"/>
                <w:sz w:val="16"/>
              </w:rPr>
              <w:t xml:space="preserve">, </w:t>
            </w:r>
            <w:r>
              <w:rPr>
                <w:rFonts w:ascii="Aptos" w:hAnsi="Aptos"/>
                <w:color w:val="233648"/>
                <w:sz w:val="16"/>
              </w:rPr>
              <w:t>PORTRAIT</w:t>
            </w:r>
            <w:r>
              <w:rPr>
                <w:rFonts w:ascii="Aptos" w:hAnsi="Aptos"/>
                <w:sz w:val="16"/>
              </w:rPr>
              <w:t xml:space="preserve"> o </w:t>
            </w:r>
            <w:r>
              <w:rPr>
                <w:rFonts w:ascii="Aptos" w:hAnsi="Aptos"/>
                <w:color w:val="233648"/>
                <w:sz w:val="16"/>
              </w:rPr>
              <w:t>LANDSCAPE</w:t>
            </w:r>
            <w:r>
              <w:rPr>
                <w:rFonts w:ascii="Aptos" w:hAnsi="Aptos"/>
                <w:sz w:val="16"/>
              </w:rPr>
              <w:t>; si queda vacío se usa la orientación del proyecto o del DOCX</w:t>
            </w:r>
          </w:p>
        </w:tc>
      </w:tr>
    </w:tbl>
    <w:p>
      <w:pPr>
        <w:spacing w:after="20"/>
      </w:pPr>
    </w:p>
    <w:p>
      <w:r>
        <w:t xml:space="preserve">Si la aplicación no tiene Global Page, créela (página 0) o quite </w:t>
      </w:r>
      <w:r>
        <w:rPr>
          <w:rFonts w:ascii="Consolas" w:hAnsi="Consolas"/>
          <w:color w:val="233648"/>
          <w:sz w:val="16"/>
        </w:rPr>
        <w:t>format_item</w:t>
      </w:r>
      <w:r>
        <w:t xml:space="preserve"> y </w:t>
      </w:r>
      <w:r>
        <w:rPr>
          <w:rFonts w:ascii="Consolas" w:hAnsi="Consolas"/>
          <w:color w:val="233648"/>
          <w:sz w:val="16"/>
        </w:rPr>
        <w:t>orientation_item</w:t>
      </w:r>
      <w:r>
        <w:t xml:space="preserve"> del proyecto y recompile. Active </w:t>
      </w:r>
      <w:r>
        <w:rPr>
          <w:b/>
        </w:rPr>
        <w:t>Session State Protection</w:t>
      </w:r>
      <w:r>
        <w:t xml:space="preserve"> en los items de filtro cuando corresponda.</w:t>
      </w:r>
    </w:p>
    <w:p>
      <w:pPr>
        <w:pStyle w:val="Heading2"/>
        <w:keepNext/>
      </w:pPr>
      <w:r>
        <w:t>9.2 Botón y proceso</w:t>
      </w:r>
    </w:p>
    <w:p>
      <w:pPr>
        <w:spacing w:after="60"/>
        <w:ind w:left="369" w:hanging="255"/>
      </w:pPr>
      <w:r>
        <w:t xml:space="preserve">1. </w:t>
      </w:r>
      <w:r>
        <w:t xml:space="preserve">Cree un botón </w:t>
      </w:r>
      <w:r>
        <w:rPr>
          <w:b/>
        </w:rPr>
        <w:t>Descargar</w:t>
      </w:r>
      <w:r>
        <w:t xml:space="preserve"> con </w:t>
      </w:r>
      <w:r>
        <w:rPr>
          <w:i/>
        </w:rPr>
        <w:t>Action: Submit Page</w:t>
      </w:r>
      <w:r>
        <w:t xml:space="preserve">. La descarga necesita un envío completo de la página; no use una Dynamic Action Ajax ni </w:t>
      </w:r>
      <w:r>
        <w:rPr>
          <w:i/>
        </w:rPr>
        <w:t>Execute Server-side Code</w:t>
      </w:r>
      <w:r>
        <w:t xml:space="preserve"> para descargar.</w:t>
      </w:r>
    </w:p>
    <w:p>
      <w:pPr>
        <w:spacing w:after="60"/>
        <w:ind w:left="369" w:hanging="255"/>
      </w:pPr>
      <w:r>
        <w:t xml:space="preserve">2. </w:t>
      </w:r>
      <w:r>
        <w:t xml:space="preserve">En los atributos de la página, </w:t>
      </w:r>
      <w:r>
        <w:rPr>
          <w:i/>
        </w:rPr>
        <w:t>Advanced &gt; Reload on Submit</w:t>
      </w:r>
      <w:r>
        <w:t xml:space="preserve">, elija </w:t>
      </w:r>
      <w:r>
        <w:rPr>
          <w:b/>
        </w:rPr>
        <w:t>Always</w:t>
      </w:r>
      <w:r>
        <w:t xml:space="preserve">. Con el valor predeterminado </w:t>
      </w:r>
      <w:r>
        <w:rPr>
          <w:i/>
        </w:rPr>
        <w:t>Only for Success</w:t>
      </w:r>
      <w:r>
        <w:t xml:space="preserve"> el navegador espera una respuesta JSON y la descarga falla con un error de sintaxis.</w:t>
      </w:r>
    </w:p>
    <w:p>
      <w:pPr>
        <w:spacing w:after="60"/>
        <w:ind w:left="369" w:hanging="255"/>
      </w:pPr>
      <w:r>
        <w:t xml:space="preserve">3. </w:t>
      </w:r>
      <w:r>
        <w:t xml:space="preserve">Cree un proceso en </w:t>
      </w:r>
      <w:r>
        <w:rPr>
          <w:i/>
        </w:rPr>
        <w:t>Processing</w:t>
      </w:r>
      <w:r>
        <w:t xml:space="preserve">: </w:t>
      </w:r>
      <w:r>
        <w:rPr>
          <w:i/>
        </w:rPr>
        <w:t>Type: Execute Code</w:t>
      </w:r>
      <w:r>
        <w:t xml:space="preserve">, </w:t>
      </w:r>
      <w:r>
        <w:rPr>
          <w:i/>
        </w:rPr>
        <w:t>Language: PL/SQL</w:t>
      </w:r>
      <w:r>
        <w:t>.</w:t>
      </w:r>
    </w:p>
    <w:p>
      <w:pPr>
        <w:spacing w:after="60"/>
        <w:ind w:left="369" w:hanging="255"/>
      </w:pPr>
      <w:r>
        <w:t xml:space="preserve">4. </w:t>
      </w:r>
      <w:r>
        <w:t xml:space="preserve">En </w:t>
      </w:r>
      <w:r>
        <w:rPr>
          <w:i/>
        </w:rPr>
        <w:t>PL/SQL Code</w:t>
      </w:r>
      <w:r>
        <w:t xml:space="preserve"> pegue el contenido completo de </w:t>
      </w:r>
      <w:r>
        <w:rPr>
          <w:rFonts w:ascii="Consolas" w:hAnsi="Consolas"/>
          <w:color w:val="233648"/>
          <w:sz w:val="16"/>
        </w:rPr>
        <w:t>apex_process.sql</w:t>
      </w:r>
      <w:r>
        <w:t xml:space="preserve"> (el bloque </w:t>
      </w:r>
      <w:r>
        <w:rPr>
          <w:rFonts w:ascii="Consolas" w:hAnsi="Consolas"/>
          <w:color w:val="233648"/>
          <w:sz w:val="16"/>
        </w:rPr>
        <w:t>declare … end;</w:t>
      </w:r>
      <w:r>
        <w:t>), sin editarlo.</w:t>
      </w:r>
    </w:p>
    <w:p>
      <w:pPr>
        <w:spacing w:after="60"/>
        <w:ind w:left="369" w:hanging="255"/>
      </w:pPr>
      <w:r>
        <w:t xml:space="preserve">5. </w:t>
      </w:r>
      <w:r>
        <w:t xml:space="preserve">En </w:t>
      </w:r>
      <w:r>
        <w:rPr>
          <w:i/>
        </w:rPr>
        <w:t>Server-side Condition</w:t>
      </w:r>
      <w:r>
        <w:t xml:space="preserve"> elija </w:t>
      </w:r>
      <w:r>
        <w:rPr>
          <w:i/>
        </w:rPr>
        <w:t>When Button Pressed</w:t>
      </w:r>
      <w:r>
        <w:t xml:space="preserve"> = el botón de descarga.</w:t>
      </w:r>
    </w:p>
    <w:p>
      <w:pPr>
        <w:spacing w:after="60"/>
        <w:ind w:left="369" w:hanging="255"/>
      </w:pPr>
      <w:r>
        <w:t xml:space="preserve">6. </w:t>
      </w:r>
      <w:r>
        <w:t xml:space="preserve">Asigne al botón y al proceso el mismo </w:t>
      </w:r>
      <w:r>
        <w:rPr>
          <w:i/>
        </w:rPr>
        <w:t>Authorization Scheme</w:t>
      </w:r>
      <w:r>
        <w:t xml:space="preserve"> que protege la página.</w:t>
      </w:r>
    </w:p>
    <w:p>
      <w:pPr>
        <w:spacing w:after="60"/>
        <w:ind w:left="369" w:hanging="255"/>
      </w:pPr>
      <w:r>
        <w:t xml:space="preserve">7. </w:t>
      </w:r>
      <w:r>
        <w:t>Al enviar la página, los filtros pasan al estado de sesión antes del proceso; la descarga detiene el procesamiento de APEX, por lo que no se ejecutan branches posteriores.</w:t>
      </w:r>
    </w:p>
    <w:p>
      <w:pPr>
        <w:spacing w:after="60"/>
        <w:ind w:left="369" w:hanging="255"/>
      </w:pPr>
      <w:r>
        <w:t xml:space="preserve">8. </w:t>
      </w:r>
      <w:r>
        <w:t>Pruebe con un usuario real autorizado y con otro no autorizado.</w:t>
      </w:r>
    </w:p>
    <w:p>
      <w:r>
        <w:t xml:space="preserve">Alternativa: un proceso </w:t>
      </w:r>
      <w:r>
        <w:rPr>
          <w:i/>
        </w:rPr>
        <w:t>Before Header</w:t>
      </w:r>
      <w:r>
        <w:t xml:space="preserve"> en una página que reciba una request concreta, siempre que los filtros ya estén en el estado de sesión.</w:t>
      </w:r>
    </w:p>
    <w:p>
      <w:r>
        <w:t xml:space="preserve">El código generado llama a esta API congelada (extracto ilustrativo; el valor real de cada argumento es el que genera el compilador, por ejemplo </w:t>
      </w:r>
      <w:r>
        <w:rPr>
          <w:rFonts w:ascii="Consolas" w:hAnsi="Consolas"/>
          <w:color w:val="233648"/>
          <w:sz w:val="16"/>
        </w:rPr>
        <w:t>coalesce(:P0_REPORT_FORMAT, 'PDF')</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w:t>
            </w:r>
            <w:r>
              <w:br/>
            </w:r>
            <w:r>
              <w:rPr>
                <w:rFonts w:ascii="Consolas" w:hAnsi="Consolas"/>
                <w:color w:val="233648"/>
                <w:sz w:val="16"/>
              </w:rPr>
              <w:t xml:space="preserve">    p_columns_json          =&gt; l_columns_json,</w:t>
            </w:r>
            <w:r>
              <w:br/>
            </w:r>
            <w:r>
              <w:rPr>
                <w:rFonts w:ascii="Consolas" w:hAnsi="Consolas"/>
                <w:color w:val="233648"/>
                <w:sz w:val="16"/>
              </w:rPr>
              <w:t xml:space="preserve">    p_bindings_json         =&gt; l_bindings_json,</w:t>
            </w:r>
            <w:r>
              <w:br/>
            </w:r>
            <w:r>
              <w:rPr>
                <w:rFonts w:ascii="Consolas" w:hAnsi="Consolas"/>
                <w:color w:val="233648"/>
                <w:sz w:val="16"/>
              </w:rPr>
              <w:t xml:space="preserve">    p_fields_json           =&gt; l_fields_json,</w:t>
            </w:r>
            <w:r>
              <w:br/>
            </w:r>
            <w:r>
              <w:rPr>
                <w:rFonts w:ascii="Consolas" w:hAnsi="Consolas"/>
                <w:color w:val="233648"/>
                <w:sz w:val="16"/>
              </w:rPr>
              <w:t xml:space="preserve">    p_style_json            =&gt; l_style_json,</w:t>
            </w:r>
            <w:r>
              <w:br/>
            </w:r>
            <w:r>
              <w:rPr>
                <w:rFonts w:ascii="Consolas" w:hAnsi="Consolas"/>
                <w:color w:val="233648"/>
                <w:sz w:val="16"/>
              </w:rPr>
              <w:t xml:space="preserve">    p_header_template       =&gt; '{{REPORT_TITLE}}',</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'PDF',</w:t>
            </w:r>
            <w:r>
              <w:br/>
            </w:r>
            <w:r>
              <w:rPr>
                <w:rFonts w:ascii="Consolas" w:hAnsi="Consolas"/>
                <w:color w:val="233648"/>
                <w:sz w:val="16"/>
              </w:rPr>
              <w:t xml:space="preserve">    p_orientation           =&gt; 'AUTO',</w:t>
            </w:r>
            <w:r>
              <w:br/>
            </w:r>
            <w:r>
              <w:rPr>
                <w:rFonts w:ascii="Consolas" w:hAnsi="Consolas"/>
                <w:color w:val="233648"/>
                <w:sz w:val="16"/>
              </w:rPr>
              <w:t xml:space="preserve">    p_max_rows              =&gt; 2000,</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 xml:space="preserve">No existen en esta API los parámetros </w:t>
      </w:r>
      <w:r>
        <w:rPr>
          <w:rFonts w:ascii="Consolas" w:hAnsi="Consolas"/>
          <w:color w:val="233648"/>
          <w:sz w:val="16"/>
        </w:rPr>
        <w:t>p_template_json</w:t>
      </w:r>
      <w:r>
        <w:t xml:space="preserve">, </w:t>
      </w:r>
      <w:r>
        <w:rPr>
          <w:rFonts w:ascii="Consolas" w:hAnsi="Consolas"/>
          <w:color w:val="233648"/>
          <w:sz w:val="16"/>
        </w:rPr>
        <w:t>p_generated_by</w:t>
      </w:r>
      <w:r>
        <w:t xml:space="preserve">, </w:t>
      </w:r>
      <w:r>
        <w:rPr>
          <w:rFonts w:ascii="Consolas" w:hAnsi="Consolas"/>
          <w:color w:val="233648"/>
          <w:sz w:val="16"/>
        </w:rPr>
        <w:t>p_paper_size</w:t>
      </w:r>
      <w:r>
        <w:t xml:space="preserve"> ni </w:t>
      </w:r>
      <w:r>
        <w:rPr>
          <w:rFonts w:ascii="Consolas" w:hAnsi="Consolas"/>
          <w:color w:val="233648"/>
          <w:sz w:val="16"/>
        </w:rPr>
        <w:t>p_auto_reserve_pct</w:t>
      </w:r>
      <w:r>
        <w:t>. El usuario se obtiene del contexto de APEX y el papel es A4.</w:t>
      </w:r>
    </w:p>
    <w:p>
      <w:pPr>
        <w:pStyle w:val="Heading1"/>
        <w:keepNext/>
      </w:pPr>
      <w:r>
        <w:t>10. Pruebas obligatorias en APEX</w:t>
      </w:r>
    </w:p>
    <w:p>
      <w:r>
        <w:t>Antes de producción pruebe:</w:t>
      </w:r>
    </w:p>
    <w:p>
      <w:pPr>
        <w:spacing w:after="60"/>
        <w:ind w:left="369" w:hanging="255"/>
      </w:pPr>
      <w:r>
        <w:t xml:space="preserve">• </w:t>
      </w:r>
      <w:r>
        <w:t>compilación del package sin errores;</w:t>
      </w:r>
    </w:p>
    <w:p>
      <w:pPr>
        <w:spacing w:after="60"/>
        <w:ind w:left="369" w:hanging="255"/>
      </w:pPr>
      <w:r>
        <w:t xml:space="preserve">• </w:t>
      </w:r>
      <w:r>
        <w:t>PDF y XLSX;</w:t>
      </w:r>
    </w:p>
    <w:p>
      <w:pPr>
        <w:spacing w:after="60"/>
        <w:ind w:left="369" w:hanging="255"/>
      </w:pPr>
      <w:r>
        <w:t xml:space="preserve">• </w:t>
      </w:r>
      <w:r>
        <w:t>consulta con cero, una y muchas filas;</w:t>
      </w:r>
    </w:p>
    <w:p>
      <w:pPr>
        <w:spacing w:after="60"/>
        <w:ind w:left="369" w:hanging="255"/>
      </w:pPr>
      <w:r>
        <w:t xml:space="preserve">• </w:t>
      </w:r>
      <w:r>
        <w:t xml:space="preserve">límite </w:t>
      </w:r>
      <w:r>
        <w:rPr>
          <w:rFonts w:ascii="Consolas" w:hAnsi="Consolas"/>
          <w:color w:val="233648"/>
          <w:sz w:val="16"/>
        </w:rPr>
        <w:t>p_max_rows</w:t>
      </w:r>
      <w:r>
        <w:t>;</w:t>
      </w:r>
    </w:p>
    <w:p>
      <w:pPr>
        <w:spacing w:after="60"/>
        <w:ind w:left="369" w:hanging="255"/>
      </w:pPr>
      <w:r>
        <w:t xml:space="preserve">• </w:t>
      </w:r>
      <w:r>
        <w:t>filtros vacíos y requeridos;</w:t>
      </w:r>
    </w:p>
    <w:p>
      <w:pPr>
        <w:spacing w:after="60"/>
        <w:ind w:left="369" w:hanging="255"/>
      </w:pPr>
      <w:r>
        <w:t xml:space="preserve">•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spacing w:after="60"/>
        <w:ind w:left="369" w:hanging="255"/>
      </w:pPr>
      <w:r>
        <w:t xml:space="preserve">• </w:t>
      </w:r>
      <w:r>
        <w:t>columnas fijas, ponderadas, automática y excluidas;</w:t>
      </w:r>
    </w:p>
    <w:p>
      <w:pPr>
        <w:spacing w:after="60"/>
        <w:ind w:left="369" w:hanging="255"/>
      </w:pPr>
      <w:r>
        <w:t xml:space="preserve">• </w:t>
      </w:r>
      <w:r>
        <w:t>LOV mostrando descripción, no ID;</w:t>
      </w:r>
    </w:p>
    <w:p>
      <w:pPr>
        <w:spacing w:after="60"/>
        <w:ind w:left="369" w:hanging="255"/>
      </w:pPr>
      <w:r>
        <w:t xml:space="preserve">• </w:t>
      </w:r>
      <w:r>
        <w:t>usuario y fecha en el pie;</w:t>
      </w:r>
    </w:p>
    <w:p>
      <w:pPr>
        <w:spacing w:after="60"/>
        <w:ind w:left="369" w:hanging="255"/>
      </w:pPr>
      <w:r>
        <w:t xml:space="preserve">• </w:t>
      </w:r>
      <w:r>
        <w:t>permisos de un usuario autorizado y otro no autorizado;</w:t>
      </w:r>
    </w:p>
    <w:p>
      <w:pPr>
        <w:spacing w:after="60"/>
        <w:ind w:left="369" w:hanging="255"/>
      </w:pPr>
      <w:r>
        <w:t xml:space="preserve">• </w:t>
      </w:r>
      <w:r>
        <w:t xml:space="preserve">compatibilidad de </w:t>
      </w:r>
      <w:r>
        <w:rPr>
          <w:rFonts w:ascii="Consolas" w:hAnsi="Consolas"/>
          <w:color w:val="233648"/>
          <w:sz w:val="16"/>
        </w:rPr>
        <w:t>DOWNLOAD_IG</w:t>
      </w:r>
      <w:r>
        <w:t xml:space="preserve"> y </w:t>
      </w:r>
      <w:r>
        <w:rPr>
          <w:rFonts w:ascii="Consolas" w:hAnsi="Consolas"/>
          <w:color w:val="233648"/>
          <w:sz w:val="16"/>
        </w:rPr>
        <w:t>DOWNLOAD_IG_PDF</w:t>
      </w:r>
      <w:r>
        <w:t xml:space="preserve"> si ya se usan.</w:t>
      </w:r>
    </w:p>
    <w:p>
      <w:pPr>
        <w:pStyle w:val="Heading1"/>
        <w:keepNext/>
      </w:pPr>
      <w:r>
        <w:t>11. Diagnóstico de problemas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El SQL contiene </w:t>
            </w:r>
            <w:r>
              <w:rPr>
                <w:rFonts w:ascii="Aptos" w:hAnsi="Aptos"/>
                <w:color w:val="233648"/>
                <w:sz w:val="16"/>
              </w:rPr>
              <w:t>:NOMBRE</w:t>
            </w:r>
            <w:r>
              <w:rPr>
                <w:rFonts w:ascii="Aptos" w:hAnsi="Aptos"/>
                <w:sz w:val="16"/>
              </w:rPr>
              <w:t xml:space="preserv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Añadirlo a </w:t>
            </w:r>
            <w:r>
              <w:rPr>
                <w:rFonts w:ascii="Aptos" w:hAnsi="Aptos"/>
                <w:color w:val="233648"/>
                <w:sz w:val="16"/>
              </w:rPr>
              <w:t>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 xml:space="preserve">Usar </w:t>
            </w:r>
            <w:r>
              <w:rPr>
                <w:rFonts w:ascii="Aptos" w:hAnsi="Aptos"/>
                <w:color w:val="233648"/>
                <w:sz w:val="16"/>
              </w:rPr>
              <w:t>P0_...</w:t>
            </w:r>
            <w:r>
              <w:rPr>
                <w:rFonts w:ascii="Aptos" w:hAnsi="Aptos"/>
                <w:sz w:val="16"/>
              </w:rPr>
              <w:t xml:space="preserve"> o </w:t>
            </w:r>
            <w:r>
              <w:rPr>
                <w:rFonts w:ascii="Aptos" w:hAnsi="Aptos"/>
                <w:color w:val="233648"/>
                <w:sz w:val="16"/>
              </w:rPr>
              <w:t>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Hacer </w:t>
            </w:r>
            <w:r>
              <w:rPr>
                <w:rFonts w:ascii="Aptos" w:hAnsi="Aptos"/>
                <w:color w:val="233648"/>
                <w:sz w:val="16"/>
              </w:rPr>
              <w:t>JOIN</w:t>
            </w:r>
            <w:r>
              <w:rPr>
                <w:rFonts w:ascii="Aptos" w:hAnsi="Aptos"/>
                <w:sz w:val="16"/>
              </w:rPr>
              <w:t xml:space="preserve">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 xml:space="preserve">Alinear </w:t>
            </w:r>
            <w:r>
              <w:rPr>
                <w:rFonts w:ascii="Aptos" w:hAnsi="Aptos"/>
                <w:color w:val="233648"/>
                <w:sz w:val="16"/>
              </w:rPr>
              <w:t>COLUMN:ALIAS</w:t>
            </w:r>
            <w:r>
              <w:rPr>
                <w:rFonts w:ascii="Aptos" w:hAnsi="Aptos"/>
                <w:sz w:val="16"/>
              </w:rPr>
              <w:t xml:space="preserve"> y </w:t>
            </w:r>
            <w:r>
              <w:rPr>
                <w:rFonts w:ascii="Aptos" w:hAnsi="Aptos"/>
                <w:color w:val="233648"/>
                <w:sz w:val="16"/>
              </w:rPr>
              <w:t>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Corregir </w:t>
            </w:r>
            <w:r>
              <w:rPr>
                <w:rFonts w:ascii="Aptos" w:hAnsi="Aptos"/>
                <w:color w:val="233648"/>
                <w:sz w:val="16"/>
              </w:rPr>
              <w:t>format_mask</w:t>
            </w:r>
            <w:r>
              <w:rPr>
                <w:rFonts w:ascii="Aptos" w:hAnsi="Aptos"/>
                <w:sz w:val="16"/>
              </w:rPr>
              <w:t xml:space="preserve">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Revisar request, proceso, branch e Items to Submit</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SQL-006 con un comentario inicial</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Hay un espacio no ASCII antes del </w:t>
            </w:r>
            <w:r>
              <w:rPr>
                <w:rFonts w:ascii="Aptos" w:hAnsi="Aptos"/>
                <w:color w:val="233648"/>
                <w:sz w:val="16"/>
              </w:rPr>
              <w:t>SELECT</w:t>
            </w:r>
          </w:p>
        </w:tc>
        <w:tc>
          <w:tcPr>
            <w:tcW w:type="dxa" w:w="3324"/>
            <w:vAlign w:val="center"/>
            <w:tcMar>
              <w:top w:w="90" w:type="dxa"/>
              <w:start w:w="110" w:type="dxa"/>
              <w:bottom w:w="90" w:type="dxa"/>
              <w:end w:w="110" w:type="dxa"/>
            </w:tcMar>
            <w:shd w:fill="FFFFFF"/>
          </w:tcPr>
          <w:p>
            <w:pPr>
              <w:spacing w:after="0"/>
            </w:pPr>
            <w:r>
              <w:rPr>
                <w:rFonts w:ascii="Aptos" w:hAnsi="Aptos"/>
                <w:sz w:val="16"/>
              </w:rPr>
              <w:t>Reescribir el salto de línea o el espacio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SQL-013</w:t>
            </w:r>
          </w:p>
        </w:tc>
        <w:tc>
          <w:tcPr>
            <w:tcW w:type="dxa" w:w="3324"/>
            <w:vAlign w:val="center"/>
            <w:tcMar>
              <w:top w:w="90" w:type="dxa"/>
              <w:start w:w="110" w:type="dxa"/>
              <w:bottom w:w="90" w:type="dxa"/>
              <w:end w:w="110" w:type="dxa"/>
            </w:tcMar>
            <w:shd w:fill="F5F7F9"/>
          </w:tcPr>
          <w:p>
            <w:pPr>
              <w:spacing w:after="0"/>
            </w:pPr>
            <w:r>
              <w:rPr>
                <w:rFonts w:ascii="Aptos" w:hAnsi="Aptos"/>
                <w:sz w:val="16"/>
              </w:rPr>
              <w:t xml:space="preserve">El SQL usa </w:t>
            </w:r>
            <w:r>
              <w:rPr>
                <w:rFonts w:ascii="Aptos" w:hAnsi="Aptos"/>
                <w:color w:val="233648"/>
                <w:sz w:val="16"/>
              </w:rPr>
              <w:t>&amp;ITEM.</w:t>
            </w:r>
          </w:p>
        </w:tc>
        <w:tc>
          <w:tcPr>
            <w:tcW w:type="dxa" w:w="3324"/>
            <w:vAlign w:val="center"/>
            <w:tcMar>
              <w:top w:w="90" w:type="dxa"/>
              <w:start w:w="110" w:type="dxa"/>
              <w:bottom w:w="90" w:type="dxa"/>
              <w:end w:w="110" w:type="dxa"/>
            </w:tcMar>
            <w:shd w:fill="F5F7F9"/>
          </w:tcPr>
          <w:p>
            <w:pPr>
              <w:spacing w:after="0"/>
            </w:pPr>
            <w:r>
              <w:rPr>
                <w:rFonts w:ascii="Aptos" w:hAnsi="Aptos"/>
                <w:sz w:val="16"/>
              </w:rPr>
              <w:t xml:space="preserve">Reemplazar por </w:t>
            </w:r>
            <w:r>
              <w:rPr>
                <w:rFonts w:ascii="Aptos" w:hAnsi="Aptos"/>
                <w:color w:val="233648"/>
                <w:sz w:val="16"/>
              </w:rPr>
              <w:t>:BIND</w:t>
            </w:r>
            <w:r>
              <w:rPr>
                <w:rFonts w:ascii="Aptos" w:hAnsi="Aptos"/>
                <w:sz w:val="16"/>
              </w:rPr>
              <w:t xml:space="preserve"> y su mapping</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PROJECT-017</w:t>
            </w:r>
          </w:p>
        </w:tc>
        <w:tc>
          <w:tcPr>
            <w:tcW w:type="dxa" w:w="3324"/>
            <w:vAlign w:val="center"/>
            <w:tcMar>
              <w:top w:w="90" w:type="dxa"/>
              <w:start w:w="110" w:type="dxa"/>
              <w:bottom w:w="90" w:type="dxa"/>
              <w:end w:w="110" w:type="dxa"/>
            </w:tcMar>
            <w:shd w:fill="FFFFFF"/>
          </w:tcPr>
          <w:p>
            <w:pPr>
              <w:spacing w:after="0"/>
            </w:pPr>
            <w:r>
              <w:rPr>
                <w:rFonts w:ascii="Aptos" w:hAnsi="Aptos"/>
                <w:sz w:val="16"/>
              </w:rPr>
              <w:t>Bind con nombre reservado de APEX</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Renombrar el bind o usar </w:t>
            </w:r>
            <w:r>
              <w:rPr>
                <w:rFonts w:ascii="Aptos" w:hAnsi="Aptos"/>
                <w:color w:val="233648"/>
                <w:sz w:val="16"/>
              </w:rPr>
              <w:t>{{APP_USER}}</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IO-003</w:t>
            </w:r>
          </w:p>
        </w:tc>
        <w:tc>
          <w:tcPr>
            <w:tcW w:type="dxa" w:w="3324"/>
            <w:vAlign w:val="center"/>
            <w:tcMar>
              <w:top w:w="90" w:type="dxa"/>
              <w:start w:w="110" w:type="dxa"/>
              <w:bottom w:w="90" w:type="dxa"/>
              <w:end w:w="110" w:type="dxa"/>
            </w:tcMar>
            <w:shd w:fill="F5F7F9"/>
          </w:tcPr>
          <w:p>
            <w:pPr>
              <w:spacing w:after="0"/>
            </w:pPr>
            <w:r>
              <w:rPr>
                <w:rFonts w:ascii="Aptos" w:hAnsi="Aptos"/>
                <w:sz w:val="16"/>
              </w:rPr>
              <w:t>La salida sobrescribiría el SQL o el proyecto</w:t>
            </w:r>
          </w:p>
        </w:tc>
        <w:tc>
          <w:tcPr>
            <w:tcW w:type="dxa" w:w="3324"/>
            <w:vAlign w:val="center"/>
            <w:tcMar>
              <w:top w:w="90" w:type="dxa"/>
              <w:start w:w="110" w:type="dxa"/>
              <w:bottom w:w="90" w:type="dxa"/>
              <w:end w:w="110" w:type="dxa"/>
            </w:tcMar>
            <w:shd w:fill="F5F7F9"/>
          </w:tcPr>
          <w:p>
            <w:pPr>
              <w:spacing w:after="0"/>
            </w:pPr>
            <w:r>
              <w:rPr>
                <w:rFonts w:ascii="Aptos" w:hAnsi="Aptos"/>
                <w:sz w:val="16"/>
              </w:rPr>
              <w:t>Elegir otra carpeta de salida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La descarga no ocurre</w:t>
            </w:r>
          </w:p>
        </w:tc>
        <w:tc>
          <w:tcPr>
            <w:tcW w:type="dxa" w:w="3324"/>
            <w:vAlign w:val="center"/>
            <w:tcMar>
              <w:top w:w="90" w:type="dxa"/>
              <w:start w:w="110" w:type="dxa"/>
              <w:bottom w:w="90" w:type="dxa"/>
              <w:end w:w="110" w:type="dxa"/>
            </w:tcMar>
            <w:shd w:fill="FFFFFF"/>
          </w:tcPr>
          <w:p>
            <w:pPr>
              <w:spacing w:after="0"/>
            </w:pPr>
            <w:r>
              <w:rPr>
                <w:rFonts w:ascii="Aptos" w:hAnsi="Aptos"/>
                <w:sz w:val="16"/>
              </w:rPr>
              <w:t>Botón con Ajax o proceso sin condición correcta</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Usar </w:t>
            </w:r>
            <w:r>
              <w:rPr>
                <w:rFonts w:ascii="Aptos" w:hAnsi="Aptos"/>
                <w:i/>
                <w:sz w:val="16"/>
              </w:rPr>
              <w:t>Submit Page</w:t>
            </w:r>
            <w:r>
              <w:rPr>
                <w:rFonts w:ascii="Aptos" w:hAnsi="Aptos"/>
                <w:sz w:val="16"/>
              </w:rPr>
              <w:t xml:space="preserve"> y </w:t>
            </w:r>
            <w:r>
              <w:rPr>
                <w:rFonts w:ascii="Aptos" w:hAnsi="Aptos"/>
                <w:i/>
                <w:sz w:val="16"/>
              </w:rPr>
              <w:t>When Button Pressed</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«SyntaxError … JSON» al descargar</w:t>
            </w:r>
          </w:p>
        </w:tc>
        <w:tc>
          <w:tcPr>
            <w:tcW w:type="dxa" w:w="3324"/>
            <w:vAlign w:val="center"/>
            <w:tcMar>
              <w:top w:w="90" w:type="dxa"/>
              <w:start w:w="110" w:type="dxa"/>
              <w:bottom w:w="90" w:type="dxa"/>
              <w:end w:w="110" w:type="dxa"/>
            </w:tcMar>
            <w:shd w:fill="F5F7F9"/>
          </w:tcPr>
          <w:p>
            <w:pPr>
              <w:spacing w:after="0"/>
            </w:pPr>
            <w:r>
              <w:rPr>
                <w:rFonts w:ascii="Aptos" w:hAnsi="Aptos"/>
                <w:i/>
                <w:sz w:val="16"/>
              </w:rPr>
              <w:t>Reload on Submit</w:t>
            </w:r>
            <w:r>
              <w:rPr>
                <w:rFonts w:ascii="Aptos" w:hAnsi="Aptos"/>
                <w:sz w:val="16"/>
              </w:rPr>
              <w:t xml:space="preserve"> en </w:t>
            </w:r>
            <w:r>
              <w:rPr>
                <w:rFonts w:ascii="Aptos" w:hAnsi="Aptos"/>
                <w:i/>
                <w:sz w:val="16"/>
              </w:rPr>
              <w:t>Only for Success</w:t>
            </w:r>
          </w:p>
        </w:tc>
        <w:tc>
          <w:tcPr>
            <w:tcW w:type="dxa" w:w="3324"/>
            <w:vAlign w:val="center"/>
            <w:tcMar>
              <w:top w:w="90" w:type="dxa"/>
              <w:start w:w="110" w:type="dxa"/>
              <w:bottom w:w="90" w:type="dxa"/>
              <w:end w:w="110" w:type="dxa"/>
            </w:tcMar>
            <w:shd w:fill="F5F7F9"/>
          </w:tcPr>
          <w:p>
            <w:pPr>
              <w:spacing w:after="0"/>
            </w:pPr>
            <w:r>
              <w:rPr>
                <w:rFonts w:ascii="Aptos" w:hAnsi="Aptos"/>
                <w:sz w:val="16"/>
              </w:rPr>
              <w:t xml:space="preserve">Cambiarlo a </w:t>
            </w:r>
            <w:r>
              <w:rPr>
                <w:rFonts w:ascii="Aptos" w:hAnsi="Aptos"/>
                <w:i/>
                <w:sz w:val="16"/>
              </w:rPr>
              <w:t>Always</w:t>
            </w:r>
            <w:r>
              <w:rPr>
                <w:rFonts w:ascii="Aptos" w:hAnsi="Aptos"/>
                <w:sz w:val="16"/>
              </w:rPr>
              <w:t xml:space="preserve"> en la página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TOKEN-005</w:t>
            </w:r>
          </w:p>
        </w:tc>
        <w:tc>
          <w:tcPr>
            <w:tcW w:type="dxa" w:w="3324"/>
            <w:vAlign w:val="center"/>
            <w:tcMar>
              <w:top w:w="90" w:type="dxa"/>
              <w:start w:w="110" w:type="dxa"/>
              <w:bottom w:w="90" w:type="dxa"/>
              <w:end w:w="110" w:type="dxa"/>
            </w:tcMar>
            <w:shd w:fill="FFFFFF"/>
          </w:tcPr>
          <w:p>
            <w:pPr>
              <w:spacing w:after="0"/>
            </w:pPr>
            <w:r>
              <w:rPr>
                <w:rFonts w:ascii="Aptos" w:hAnsi="Aptos"/>
                <w:color w:val="233648"/>
                <w:sz w:val="16"/>
              </w:rPr>
              <w:t>{{FIELD:APP_USER}}</w:t>
            </w:r>
            <w:r>
              <w:rPr>
                <w:rFonts w:ascii="Aptos" w:hAnsi="Aptos"/>
                <w:sz w:val="16"/>
              </w:rPr>
              <w:t xml:space="preserve"> u otro nombre reservado</w:t>
            </w:r>
          </w:p>
        </w:tc>
        <w:tc>
          <w:tcPr>
            <w:tcW w:type="dxa" w:w="3324"/>
            <w:vAlign w:val="center"/>
            <w:tcMar>
              <w:top w:w="90" w:type="dxa"/>
              <w:start w:w="110" w:type="dxa"/>
              <w:bottom w:w="90" w:type="dxa"/>
              <w:end w:w="110" w:type="dxa"/>
            </w:tcMar>
            <w:shd w:fill="FFFFFF"/>
          </w:tcPr>
          <w:p>
            <w:pPr>
              <w:spacing w:after="0"/>
            </w:pPr>
            <w:r>
              <w:rPr>
                <w:rFonts w:ascii="Aptos" w:hAnsi="Aptos"/>
                <w:sz w:val="16"/>
              </w:rPr>
              <w:t xml:space="preserve">Escribir </w:t>
            </w:r>
            <w:r>
              <w:rPr>
                <w:rFonts w:ascii="Aptos" w:hAnsi="Aptos"/>
                <w:color w:val="233648"/>
                <w:sz w:val="16"/>
              </w:rPr>
              <w:t>{{APP_USER}}</w:t>
            </w:r>
            <w:r>
              <w:rPr>
                <w:rFonts w:ascii="Aptos" w:hAnsi="Aptos"/>
                <w:sz w:val="16"/>
              </w:rPr>
              <w:t xml:space="preserve"> sin </w:t>
            </w:r>
            <w:r>
              <w:rPr>
                <w:rFonts w:ascii="Aptos" w:hAnsi="Aptos"/>
                <w:color w:val="233648"/>
                <w:sz w:val="16"/>
              </w:rPr>
              <w:t>FIELD:</w:t>
            </w:r>
          </w:p>
        </w:tc>
      </w:tr>
    </w:tbl>
    <w:p>
      <w:pPr>
        <w:spacing w:after="20"/>
      </w:pPr>
    </w:p>
    <w:p>
      <w:pPr>
        <w:pStyle w:val="Heading1"/>
        <w:keepNext/>
      </w:pPr>
      <w:r>
        <w:t>12. Mantenimiento recomendado</w:t>
      </w:r>
    </w:p>
    <w:p>
      <w:pPr>
        <w:spacing w:after="60"/>
        <w:ind w:left="369" w:hanging="255"/>
      </w:pPr>
      <w:r>
        <w:t xml:space="preserve">• </w:t>
      </w:r>
      <w:r>
        <w:t xml:space="preserve">Mantenga juntos el DOCX, </w:t>
      </w:r>
      <w:r>
        <w:rPr>
          <w:rFonts w:ascii="Consolas" w:hAnsi="Consolas"/>
          <w:color w:val="233648"/>
          <w:sz w:val="16"/>
        </w:rPr>
        <w:t>.sql</w:t>
      </w:r>
      <w:r>
        <w:t xml:space="preserve">, </w:t>
      </w:r>
      <w:r>
        <w:rPr>
          <w:rFonts w:ascii="Consolas" w:hAnsi="Consolas"/>
          <w:color w:val="233648"/>
          <w:sz w:val="16"/>
        </w:rPr>
        <w:t>.report.json</w:t>
      </w:r>
      <w:r>
        <w:t xml:space="preserve"> y una salida de referencia.</w:t>
      </w:r>
    </w:p>
    <w:p>
      <w:pPr>
        <w:spacing w:after="60"/>
        <w:ind w:left="369" w:hanging="255"/>
      </w:pPr>
      <w:r>
        <w:t xml:space="preserve">• </w:t>
      </w:r>
      <w:r>
        <w:t>Versione cada cambio y revise SQL/configuración como código.</w:t>
      </w:r>
    </w:p>
    <w:p>
      <w:pPr>
        <w:spacing w:after="60"/>
        <w:ind w:left="369" w:hanging="255"/>
      </w:pPr>
      <w:r>
        <w:t xml:space="preserve">• </w:t>
      </w:r>
      <w:r>
        <w:t>Recompile después de cambiar Word, SQL, aliases, campos, exclusiones o anchos.</w:t>
      </w:r>
    </w:p>
    <w:p>
      <w:pPr>
        <w:spacing w:after="60"/>
        <w:ind w:left="369" w:hanging="255"/>
      </w:pPr>
      <w:r>
        <w:t xml:space="preserve">• </w:t>
      </w:r>
      <w:r>
        <w:t xml:space="preserve">No edite </w:t>
      </w:r>
      <w:r>
        <w:rPr>
          <w:rFonts w:ascii="Consolas" w:hAnsi="Consolas"/>
          <w:color w:val="233648"/>
          <w:sz w:val="16"/>
        </w:rPr>
        <w:t>apex_process.sql</w:t>
      </w:r>
      <w:r>
        <w:t xml:space="preserve"> sin reflejar el cambio en el proyecto fuente.</w:t>
      </w:r>
    </w:p>
    <w:p>
      <w:pPr>
        <w:spacing w:after="60"/>
        <w:ind w:left="369" w:hanging="255"/>
      </w:pPr>
      <w:r>
        <w:t xml:space="preserve">• </w:t>
      </w:r>
      <w:r>
        <w:t>Instale una sola versión central del paquete; no genere un package distinto por reporte.</w:t>
      </w:r>
    </w:p>
    <w:p>
      <w:pPr>
        <w:spacing w:after="60"/>
        <w:ind w:left="369" w:hanging="255"/>
      </w:pPr>
      <w:r>
        <w:t xml:space="preserve">• </w:t>
      </w:r>
      <w:r>
        <w:t>Revise rendimiento y permisos del SQL antes de promover.</w:t>
      </w:r>
    </w:p>
    <w:p>
      <w:r>
        <w:t xml:space="preserve">El directorio </w:t>
      </w:r>
      <w:r>
        <w:rPr>
          <w:rFonts w:ascii="Consolas" w:hAnsi="Consolas"/>
          <w:color w:val="233648"/>
          <w:sz w:val="16"/>
        </w:rPr>
        <w:t>examples</w:t>
      </w:r>
      <w:r>
        <w:t xml:space="preserve"> contiene un proyecto completo que sirve como punto de partida; </w:t>
      </w:r>
      <w:r>
        <w:rPr>
          <w:rFonts w:ascii="Consolas" w:hAnsi="Consolas"/>
          <w:color w:val="233648"/>
          <w:sz w:val="16"/>
        </w:rPr>
        <w:t>templates</w:t>
      </w:r>
      <w:r>
        <w:t xml:space="preserve"> contiene dos plantillas de referencia, vertical y horizontal.</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