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 de calidad de las plantillas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Plantillas de referencia del contrato 1.0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pPr>
        <w:pStyle w:val="Heading1"/>
        <w:keepNext/>
      </w:pPr>
      <w:r>
        <w:t>Propósito</w:t>
      </w:r>
    </w:p>
    <w:p>
      <w:r>
        <w:t xml:space="preserve">Esta lista verifica que </w:t>
      </w:r>
      <w:r>
        <w:rPr>
          <w:rFonts w:ascii="Consolas" w:hAnsi="Consolas"/>
          <w:color w:val="233648"/>
          <w:sz w:val="16"/>
        </w:rPr>
        <w:t>entidades_portrait.docx</w:t>
      </w:r>
      <w:r>
        <w:t xml:space="preserve"> y</w:t>
      </w:r>
      <w:r>
        <w:t xml:space="preserve"> </w:t>
      </w:r>
      <w:r>
        <w:rPr>
          <w:rFonts w:ascii="Consolas" w:hAnsi="Consolas"/>
          <w:color w:val="233648"/>
          <w:sz w:val="16"/>
        </w:rPr>
        <w:t>entidades_landscape.docx</w:t>
      </w:r>
      <w:r>
        <w:t xml:space="preserve"> sean ejemplos válidos del contrato 1.0 y que su</w:t>
      </w:r>
      <w:r>
        <w:t xml:space="preserve"> </w:t>
      </w:r>
      <w:r>
        <w:t>apariencia siga siendo estable al cambiar el generador. Las plantillas son</w:t>
      </w:r>
      <w:r>
        <w:t xml:space="preserve"> </w:t>
      </w:r>
      <w:r>
        <w:t>datos de prueba del compilador, no documentos que se cargan en Oracle APEX.</w:t>
      </w:r>
    </w:p>
    <w:p>
      <w:pPr>
        <w:pStyle w:val="Heading1"/>
        <w:keepNext/>
      </w:pPr>
      <w:r>
        <w:t>Generación reproducible</w:t>
      </w:r>
    </w:p>
    <w:p>
      <w:pPr>
        <w:spacing w:after="60"/>
        <w:ind w:left="369" w:hanging="255"/>
      </w:pPr>
      <w:r>
        <w:t xml:space="preserve">1. </w:t>
      </w:r>
      <w:r>
        <w:t xml:space="preserve">Desde la raíz del proyecto, con el entorno </w:t>
      </w:r>
      <w:r>
        <w:rPr>
          <w:rFonts w:ascii="Consolas" w:hAnsi="Consolas"/>
          <w:color w:val="233648"/>
          <w:sz w:val="16"/>
        </w:rPr>
        <w:t>.venv</w:t>
      </w:r>
      <w:r>
        <w:t xml:space="preserve"> preparado: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.\.venv\Scripts\python.exe tools\generate_sample_templates.py --output-dir build\qa\templates</w:t>
            </w:r>
          </w:p>
        </w:tc>
      </w:tr>
    </w:tbl>
    <w:p>
      <w:pPr>
        <w:spacing w:after="60"/>
        <w:ind w:left="369" w:hanging="255"/>
      </w:pPr>
      <w:r>
        <w:t xml:space="preserve">2. </w:t>
      </w:r>
      <w:r>
        <w:t>Guardar los hashes SHA-256 impresos por el script.</w:t>
      </w:r>
    </w:p>
    <w:p>
      <w:pPr>
        <w:spacing w:after="60"/>
        <w:ind w:left="369" w:hanging="255"/>
      </w:pPr>
      <w:r>
        <w:t xml:space="preserve">3. </w:t>
      </w:r>
      <w:r>
        <w:t>Comparar byte a byte con las plantillas versionadas: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fc.exe /b build\qa\templates\entidades_portrait.docx templates\entidades_portrait.docx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fc.exe /b build\qa\templates\entidades_landscape.docx templates\entidades_landscape.docx</w:t>
            </w:r>
          </w:p>
        </w:tc>
      </w:tr>
    </w:tbl>
    <w:p>
      <w:pPr>
        <w:spacing w:after="60"/>
        <w:ind w:left="369" w:hanging="255"/>
      </w:pPr>
      <w:r>
        <w:t xml:space="preserve">4. </w:t>
      </w:r>
      <w:r>
        <w:t xml:space="preserve">Confirmar que los únicos archivos generados son: </w:t>
      </w:r>
      <w:r>
        <w:rPr>
          <w:rFonts w:ascii="Consolas" w:hAnsi="Consolas"/>
          <w:color w:val="233648"/>
          <w:sz w:val="16"/>
        </w:rPr>
        <w:t>entidades_portrait.docx</w:t>
      </w:r>
      <w:r>
        <w:t xml:space="preserve"> y </w:t>
      </w:r>
      <w:r>
        <w:rPr>
          <w:rFonts w:ascii="Consolas" w:hAnsi="Consolas"/>
          <w:color w:val="233648"/>
          <w:sz w:val="16"/>
        </w:rPr>
        <w:t>entidades_landscape.docx</w:t>
      </w:r>
      <w:r>
        <w:t>.</w:t>
      </w:r>
    </w:p>
    <w:p>
      <w:pPr>
        <w:spacing w:after="60"/>
        <w:ind w:left="369" w:hanging="255"/>
      </w:pPr>
      <w:r>
        <w:t xml:space="preserve">5. </w:t>
      </w:r>
      <w:r>
        <w:rPr>
          <w:rFonts w:ascii="Consolas" w:hAnsi="Consolas"/>
          <w:color w:val="233648"/>
          <w:sz w:val="16"/>
        </w:rPr>
        <w:t>examples\entidades.docx</w:t>
      </w:r>
      <w:r>
        <w:t xml:space="preserve"> debe ser idéntico a </w:t>
      </w:r>
      <w:r>
        <w:rPr>
          <w:rFonts w:ascii="Consolas" w:hAnsi="Consolas"/>
          <w:color w:val="233648"/>
          <w:sz w:val="16"/>
        </w:rPr>
        <w:t>templates\entidades_landscape.docx</w:t>
      </w:r>
      <w:r>
        <w:t>.</w:t>
      </w:r>
    </w:p>
    <w:p>
      <w:pPr>
        <w:spacing w:after="60"/>
        <w:ind w:left="369" w:hanging="255"/>
      </w:pPr>
      <w:r>
        <w:t xml:space="preserve">6. </w:t>
      </w:r>
      <w:r>
        <w:t xml:space="preserve">Solo si se cambió el generador a propósito, regenerar en </w:t>
      </w:r>
      <w:r>
        <w:rPr>
          <w:rFonts w:ascii="Consolas" w:hAnsi="Consolas"/>
          <w:color w:val="233648"/>
          <w:sz w:val="16"/>
        </w:rPr>
        <w:t>templates</w:t>
      </w:r>
      <w:r>
        <w:t xml:space="preserve"> (directorio predeterminado del script) y repetir esta lista completa.</w:t>
      </w:r>
    </w:p>
    <w:p>
      <w:pPr>
        <w:pStyle w:val="Heading1"/>
        <w:keepNext/>
      </w:pPr>
      <w:r>
        <w:t>Inspección estructural</w:t>
      </w:r>
    </w:p>
    <w:p>
      <w:r>
        <w:t>Comprobar con el lector del propio compilador y, cuando sea necesario,</w:t>
      </w:r>
      <w:r>
        <w:t xml:space="preserve"> </w:t>
      </w:r>
      <w:r>
        <w:t>inspeccionando el OOXML:</w:t>
      </w:r>
    </w:p>
    <w:p>
      <w:pPr>
        <w:spacing w:after="60"/>
        <w:ind w:left="369" w:hanging="255"/>
      </w:pPr>
      <w:r>
        <w:t xml:space="preserve">• </w:t>
      </w:r>
      <w:r>
        <w:t xml:space="preserve">el archivo es </w:t>
      </w:r>
      <w:r>
        <w:rPr>
          <w:rFonts w:ascii="Consolas" w:hAnsi="Consolas"/>
          <w:color w:val="233648"/>
          <w:sz w:val="16"/>
        </w:rPr>
        <w:t>.docx</w:t>
      </w:r>
      <w:r>
        <w:t xml:space="preserve">, no </w:t>
      </w:r>
      <w:r>
        <w:rPr>
          <w:rFonts w:ascii="Consolas" w:hAnsi="Consolas"/>
          <w:color w:val="233648"/>
          <w:sz w:val="16"/>
        </w:rPr>
        <w:t>.docm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existe una sola sección;</w:t>
      </w:r>
    </w:p>
    <w:p>
      <w:pPr>
        <w:spacing w:after="60"/>
        <w:ind w:left="369" w:hanging="255"/>
      </w:pPr>
      <w:r>
        <w:t xml:space="preserve">• </w:t>
      </w:r>
      <w:r>
        <w:t>el encabezado real de Word está vacío;</w:t>
      </w:r>
    </w:p>
    <w:p>
      <w:pPr>
        <w:spacing w:after="60"/>
        <w:ind w:left="369" w:hanging="255"/>
      </w:pPr>
      <w:r>
        <w:t xml:space="preserve">• </w:t>
      </w:r>
      <w:r>
        <w:t>existe un único párrafo con contenido antes de la tabla;</w:t>
      </w:r>
    </w:p>
    <w:p>
      <w:pPr>
        <w:spacing w:after="60"/>
        <w:ind w:left="369" w:hanging="255"/>
      </w:pPr>
      <w:r>
        <w:t xml:space="preserve">• </w:t>
      </w:r>
      <w:r>
        <w:t xml:space="preserve">ese párrafo contiene </w:t>
      </w:r>
      <w:r>
        <w:rPr>
          <w:rFonts w:ascii="Consolas" w:hAnsi="Consolas"/>
          <w:color w:val="233648"/>
          <w:sz w:val="16"/>
        </w:rPr>
        <w:t>{{REPORT_TITLE}}</w:t>
      </w:r>
      <w:r>
        <w:t xml:space="preserve"> exactamente una vez;</w:t>
      </w:r>
    </w:p>
    <w:p>
      <w:pPr>
        <w:spacing w:after="60"/>
        <w:ind w:left="369" w:hanging="255"/>
      </w:pPr>
      <w:r>
        <w:t xml:space="preserve">• </w:t>
      </w:r>
      <w:r>
        <w:t>existe una sola tabla principal;</w:t>
      </w:r>
    </w:p>
    <w:p>
      <w:pPr>
        <w:spacing w:after="60"/>
        <w:ind w:left="369" w:hanging="255"/>
      </w:pPr>
      <w:r>
        <w:t xml:space="preserve">• </w:t>
      </w:r>
      <w:r>
        <w:t>la tabla tiene exactamente dos filas y el mismo número de celdas por fila;</w:t>
      </w:r>
    </w:p>
    <w:p>
      <w:pPr>
        <w:spacing w:after="60"/>
        <w:ind w:left="369" w:hanging="255"/>
      </w:pPr>
      <w:r>
        <w:t xml:space="preserve">• </w:t>
      </w:r>
      <w:r>
        <w:t>la fila 1 contiene solo etiquetas literales;</w:t>
      </w:r>
    </w:p>
    <w:p>
      <w:pPr>
        <w:spacing w:after="60"/>
        <w:ind w:left="369" w:hanging="255"/>
      </w:pPr>
      <w:r>
        <w:t xml:space="preserve">• </w:t>
      </w:r>
      <w:r>
        <w:t xml:space="preserve">cada celda de la fila 2 contiene únicamente un marcador </w:t>
      </w:r>
      <w:r>
        <w:rPr>
          <w:rFonts w:ascii="Consolas" w:hAnsi="Consolas"/>
          <w:color w:val="233648"/>
          <w:sz w:val="16"/>
        </w:rPr>
        <w:t>{{COLUMN:ALIAS}}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no hay aliases duplicados;</w:t>
      </w:r>
    </w:p>
    <w:p>
      <w:pPr>
        <w:spacing w:after="60"/>
        <w:ind w:left="369" w:hanging="255"/>
      </w:pPr>
      <w:r>
        <w:t xml:space="preserve">• </w:t>
      </w:r>
      <w:r>
        <w:t xml:space="preserve">el footer real contiene un único párrafo con </w:t>
      </w:r>
      <w:r>
        <w:rPr>
          <w:rFonts w:ascii="Consolas" w:hAnsi="Consolas"/>
          <w:color w:val="233648"/>
          <w:sz w:val="16"/>
        </w:rPr>
        <w:t>{{APP_USER}}</w:t>
      </w:r>
      <w:r>
        <w:t xml:space="preserve"> y </w:t>
      </w:r>
      <w:r>
        <w:rPr>
          <w:rFonts w:ascii="Consolas" w:hAnsi="Consolas"/>
          <w:color w:val="233648"/>
          <w:sz w:val="16"/>
        </w:rPr>
        <w:t>{{GENERATED_AT}}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no hay párrafos con contenido después de la tabla;</w:t>
      </w:r>
    </w:p>
    <w:p>
      <w:pPr>
        <w:spacing w:after="60"/>
        <w:ind w:left="369" w:hanging="255"/>
      </w:pPr>
      <w:r>
        <w:t xml:space="preserve">• </w:t>
      </w:r>
      <w:r>
        <w:t>no hay imágenes, relaciones externas, macros, formas, objetos OLE, campos Word, comentarios, cambios controlados, tablas anidadas ni celdas combinadas.</w:t>
      </w:r>
    </w:p>
    <w:p>
      <w:pPr>
        <w:pStyle w:val="Heading1"/>
        <w:keepNext/>
      </w:pPr>
      <w:r>
        <w:t>Contenido esperado</w:t>
      </w:r>
    </w:p>
    <w:p>
      <w:pPr>
        <w:pStyle w:val="Heading2"/>
        <w:keepNext/>
      </w:pPr>
      <w:r>
        <w:t>Plantilla vertical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Posición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VDNI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Nombre completo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VNOM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DEPARTAMENTO</w:t>
            </w:r>
          </w:p>
        </w:tc>
      </w:tr>
    </w:tbl>
    <w:p>
      <w:pPr>
        <w:spacing w:after="20"/>
      </w:pPr>
    </w:p>
    <w:p>
      <w:r>
        <w:t>La página debe ser A4 vertical. Los anchos visuales deben favorecer el nombre</w:t>
      </w:r>
      <w:r>
        <w:t xml:space="preserve"> </w:t>
      </w:r>
      <w:r>
        <w:t>completo y conservar el DNI como columna compacta.</w:t>
      </w:r>
    </w:p>
    <w:p>
      <w:pPr>
        <w:pStyle w:val="Heading2"/>
        <w:keepNext/>
      </w:pPr>
      <w:r>
        <w:t>Plantilla horizontal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Posición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VDNI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Nombre completo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VNOM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Dirección actual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VDIREC_ACTUAL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DEPARTAMENTO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DISTRITO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Teléfono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VNRO_TLF1</w:t>
            </w:r>
          </w:p>
        </w:tc>
      </w:tr>
    </w:tbl>
    <w:p>
      <w:pPr>
        <w:spacing w:after="20"/>
      </w:pPr>
    </w:p>
    <w:p>
      <w:r>
        <w:t xml:space="preserve">La página debe ser A4 horizontal. </w:t>
      </w:r>
      <w:r>
        <w:rPr>
          <w:rFonts w:ascii="Consolas" w:hAnsi="Consolas"/>
          <w:color w:val="233648"/>
          <w:sz w:val="16"/>
        </w:rPr>
        <w:t>VDIREC_ACTUAL</w:t>
      </w:r>
      <w:r>
        <w:t xml:space="preserve"> debe seguir siendo una de las</w:t>
      </w:r>
      <w:r>
        <w:t xml:space="preserve"> </w:t>
      </w:r>
      <w:r>
        <w:t xml:space="preserve">columnas más anchas. </w:t>
      </w:r>
      <w:r>
        <w:rPr>
          <w:rFonts w:ascii="Consolas" w:hAnsi="Consolas"/>
          <w:color w:val="233648"/>
          <w:sz w:val="16"/>
        </w:rPr>
        <w:t>DEPARTAMENTO</w:t>
      </w:r>
      <w:r>
        <w:t xml:space="preserve"> y </w:t>
      </w:r>
      <w:r>
        <w:rPr>
          <w:rFonts w:ascii="Consolas" w:hAnsi="Consolas"/>
          <w:color w:val="233648"/>
          <w:sz w:val="16"/>
        </w:rPr>
        <w:t>VNRO_TLF1</w:t>
      </w:r>
      <w:r>
        <w:t xml:space="preserve"> reciben espacio adicional</w:t>
      </w:r>
      <w:r>
        <w:t xml:space="preserve"> </w:t>
      </w:r>
      <w:r>
        <w:t>para que sus marcadores técnicos no se dividan de forma innecesaria. El modo</w:t>
      </w:r>
      <w:r>
        <w:t xml:space="preserve"> </w:t>
      </w:r>
      <w:r>
        <w:rPr>
          <w:rFonts w:ascii="Consolas" w:hAnsi="Consolas"/>
          <w:color w:val="233648"/>
          <w:sz w:val="16"/>
        </w:rPr>
        <w:t>AUTO</w:t>
      </w:r>
      <w:r>
        <w:t>, si se desea probar, se declara en el manifiesto del proyecto y no se</w:t>
      </w:r>
      <w:r>
        <w:t xml:space="preserve"> </w:t>
      </w:r>
      <w:r>
        <w:t>codifica dentro del DOCX.</w:t>
      </w:r>
    </w:p>
    <w:p>
      <w:pPr>
        <w:pStyle w:val="Heading1"/>
        <w:keepNext/>
      </w:pPr>
      <w:r>
        <w:t>Estilos esperados</w:t>
      </w:r>
    </w:p>
    <w:p>
      <w:pPr>
        <w:spacing w:after="60"/>
        <w:ind w:left="369" w:hanging="255"/>
      </w:pPr>
      <w:r>
        <w:t xml:space="preserve">• </w:t>
      </w:r>
      <w:r>
        <w:t xml:space="preserve">título centrado, Arial 15 pt, negrita, color </w:t>
      </w:r>
      <w:r>
        <w:rPr>
          <w:rFonts w:ascii="Consolas" w:hAnsi="Consolas"/>
          <w:color w:val="233648"/>
          <w:sz w:val="16"/>
        </w:rPr>
        <w:t>#2F343A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 xml:space="preserve">fila de encabezado centrada, Arial 9 pt, negrita, texto blanco y fondo </w:t>
      </w:r>
      <w:r>
        <w:rPr>
          <w:rFonts w:ascii="Consolas" w:hAnsi="Consolas"/>
          <w:color w:val="233648"/>
          <w:sz w:val="16"/>
        </w:rPr>
        <w:t>#4A4F55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 xml:space="preserve">fila prototipo Arial 8.5 pt en vertical y 8 pt en horizontal, peso normal, texto </w:t>
      </w:r>
      <w:r>
        <w:rPr>
          <w:rFonts w:ascii="Consolas" w:hAnsi="Consolas"/>
          <w:color w:val="233648"/>
          <w:sz w:val="16"/>
        </w:rPr>
        <w:t>#25282B</w:t>
      </w:r>
      <w:r>
        <w:t xml:space="preserve"> y fondo blanco;</w:t>
      </w:r>
    </w:p>
    <w:p>
      <w:pPr>
        <w:spacing w:after="60"/>
        <w:ind w:left="369" w:hanging="255"/>
      </w:pPr>
      <w:r>
        <w:t xml:space="preserve">• </w:t>
      </w:r>
      <w:r>
        <w:t>cuerpo alineado de acuerdo con el tipo de dato: texto a la izquierda y identificadores o teléfono centrados;</w:t>
      </w:r>
    </w:p>
    <w:p>
      <w:pPr>
        <w:spacing w:after="60"/>
        <w:ind w:left="369" w:hanging="255"/>
      </w:pPr>
      <w:r>
        <w:t xml:space="preserve">• </w:t>
      </w:r>
      <w:r>
        <w:t xml:space="preserve">bordes internos y externos uniformes de 0.5 pt, color </w:t>
      </w:r>
      <w:r>
        <w:rPr>
          <w:rFonts w:ascii="Consolas" w:hAnsi="Consolas"/>
          <w:color w:val="233648"/>
          <w:sz w:val="16"/>
        </w:rPr>
        <w:t>#BFC3C7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 xml:space="preserve">footer centrado, Arial 8 pt, peso normal, color </w:t>
      </w:r>
      <w:r>
        <w:rPr>
          <w:rFonts w:ascii="Consolas" w:hAnsi="Consolas"/>
          <w:color w:val="233648"/>
          <w:sz w:val="16"/>
        </w:rPr>
        <w:t>#666666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sin cursiva, subrayado, tachado ni formato mixto dentro de una zona.</w:t>
      </w:r>
    </w:p>
    <w:p>
      <w:pPr>
        <w:pStyle w:val="Heading1"/>
        <w:keepNext/>
      </w:pPr>
      <w:r>
        <w:t>Compilación esperada</w:t>
      </w:r>
    </w:p>
    <w:p>
      <w:r>
        <w:t>Ejecutar cada plantilla con un proyecto válido y verificar:</w:t>
      </w:r>
    </w:p>
    <w:p>
      <w:pPr>
        <w:spacing w:after="60"/>
        <w:ind w:left="369" w:hanging="255"/>
      </w:pPr>
      <w:r>
        <w:t xml:space="preserve">• </w:t>
      </w:r>
      <w:r>
        <w:t>el diagnóstico no contiene errores;</w:t>
      </w:r>
    </w:p>
    <w:p>
      <w:pPr>
        <w:spacing w:after="60"/>
        <w:ind w:left="369" w:hanging="255"/>
      </w:pPr>
      <w:r>
        <w:t xml:space="preserve">• </w:t>
      </w:r>
      <w:r>
        <w:t xml:space="preserve">la lectura valida que el DOCX fuente use papel A4, sin emitir una opción de tamaño de papel en el proyecto ni en </w:t>
      </w:r>
      <w:r>
        <w:rPr>
          <w:rFonts w:ascii="Consolas" w:hAnsi="Consolas"/>
          <w:color w:val="233648"/>
          <w:sz w:val="16"/>
        </w:rPr>
        <w:t>template.json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report.orientation</w:t>
      </w:r>
      <w:r>
        <w:t xml:space="preserve"> de </w:t>
      </w:r>
      <w:r>
        <w:rPr>
          <w:rFonts w:ascii="Consolas" w:hAnsi="Consolas"/>
          <w:color w:val="233648"/>
          <w:sz w:val="16"/>
        </w:rPr>
        <w:t>template.json</w:t>
      </w:r>
      <w:r>
        <w:t xml:space="preserve"> es </w:t>
      </w:r>
      <w:r>
        <w:rPr>
          <w:rFonts w:ascii="Consolas" w:hAnsi="Consolas"/>
          <w:color w:val="233648"/>
          <w:sz w:val="16"/>
        </w:rPr>
        <w:t>PORTRAIT</w:t>
      </w:r>
      <w:r>
        <w:t xml:space="preserve"> o </w:t>
      </w:r>
      <w:r>
        <w:rPr>
          <w:rFonts w:ascii="Consolas" w:hAnsi="Consolas"/>
          <w:color w:val="233648"/>
          <w:sz w:val="16"/>
        </w:rPr>
        <w:t>LANDSCAPE</w:t>
      </w:r>
      <w:r>
        <w:t xml:space="preserve">, según el archivo, cuando el proyecto no declara </w:t>
      </w:r>
      <w:r>
        <w:rPr>
          <w:rFonts w:ascii="Consolas" w:hAnsi="Consolas"/>
          <w:color w:val="233648"/>
          <w:sz w:val="16"/>
        </w:rPr>
        <w:t>orientation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los nombres, etiquetas, alineaciones y orden de columnas coinciden con las tablas anteriores;</w:t>
      </w:r>
    </w:p>
    <w:p>
      <w:pPr>
        <w:spacing w:after="60"/>
        <w:ind w:left="369" w:hanging="255"/>
      </w:pPr>
      <w:r>
        <w:t xml:space="preserve">• </w:t>
      </w:r>
      <w:r>
        <w:t xml:space="preserve">las columnas sin entrada en </w:t>
      </w:r>
      <w:r>
        <w:rPr>
          <w:rFonts w:ascii="Consolas" w:hAnsi="Consolas"/>
          <w:color w:val="233648"/>
          <w:sz w:val="16"/>
        </w:rPr>
        <w:t>column_widths</w:t>
      </w:r>
      <w:r>
        <w:t xml:space="preserve"> reciben </w:t>
      </w:r>
      <w:r>
        <w:rPr>
          <w:rFonts w:ascii="Consolas" w:hAnsi="Consolas"/>
          <w:color w:val="233648"/>
          <w:sz w:val="16"/>
        </w:rPr>
        <w:t>WEIGHT</w:t>
      </w:r>
      <w:r>
        <w:t xml:space="preserve"> 1.0; los anchos dibujados en Word son solo una ayuda visual y no alteran silenciosamente el contrato compilado;</w:t>
      </w:r>
    </w:p>
    <w:p>
      <w:pPr>
        <w:spacing w:after="60"/>
        <w:ind w:left="369" w:hanging="255"/>
      </w:pPr>
      <w:r>
        <w:t xml:space="preserve">• </w:t>
      </w:r>
      <w:r>
        <w:t xml:space="preserve">el estilo del título queda normalizado a </w:t>
      </w:r>
      <w:r>
        <w:rPr>
          <w:rFonts w:ascii="Consolas" w:hAnsi="Consolas"/>
          <w:color w:val="233648"/>
          <w:sz w:val="16"/>
        </w:rPr>
        <w:t>CENTER</w:t>
      </w:r>
      <w:r>
        <w:t>;</w:t>
      </w:r>
    </w:p>
    <w:p>
      <w:pPr>
        <w:spacing w:after="60"/>
        <w:ind w:left="369" w:hanging="255"/>
      </w:pPr>
      <w:r>
        <w:t xml:space="preserve">• </w:t>
      </w:r>
      <w:r>
        <w:t>el footer conserva ambos marcadores integrados;</w:t>
      </w:r>
    </w:p>
    <w:p>
      <w:pPr>
        <w:spacing w:after="60"/>
        <w:ind w:left="369" w:hanging="255"/>
      </w:pPr>
      <w:r>
        <w:t xml:space="preserve">• </w:t>
      </w:r>
      <w:r>
        <w:t>repetir la compilación produce JSON y SQL normalizados idénticos.</w:t>
      </w:r>
    </w:p>
    <w:p>
      <w:pPr>
        <w:pStyle w:val="Heading1"/>
        <w:keepNext/>
      </w:pPr>
      <w:r>
        <w:t>Renderizado e inspección visual</w:t>
      </w:r>
    </w:p>
    <w:p>
      <w:r>
        <w:t xml:space="preserve">Abrir cada DOCX de </w:t>
      </w:r>
      <w:r>
        <w:rPr>
          <w:rFonts w:ascii="Consolas" w:hAnsi="Consolas"/>
          <w:color w:val="233648"/>
          <w:sz w:val="16"/>
        </w:rPr>
        <w:t>templates</w:t>
      </w:r>
      <w:r>
        <w:t xml:space="preserve"> en Microsoft Word y exportarlo a PDF con</w:t>
      </w:r>
      <w:r>
        <w:t xml:space="preserve"> </w:t>
      </w:r>
      <w:r>
        <w:rPr>
          <w:i/>
        </w:rPr>
        <w:t>Archivo &gt; Exportar &gt; Crear PDF/XPS</w:t>
      </w:r>
      <w:r>
        <w:t xml:space="preserve"> en </w:t>
      </w:r>
      <w:r>
        <w:rPr>
          <w:rFonts w:ascii="Consolas" w:hAnsi="Consolas"/>
          <w:color w:val="233648"/>
          <w:sz w:val="16"/>
        </w:rPr>
        <w:t>build\qa</w:t>
      </w:r>
      <w:r>
        <w:t>. Como alternativa sin Word: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&amp; "C:\Program Files\LibreOffice\program\soffice.exe" --headless --convert-to pdf --outdir build\qa templates\entidades_portrait.docx templates\entidades_landscape.docx</w:t>
            </w:r>
          </w:p>
        </w:tc>
      </w:tr>
    </w:tbl>
    <w:p>
      <w:r>
        <w:t>Revisar al 100 % todas las páginas del PDF. Confirmar:</w:t>
      </w:r>
    </w:p>
    <w:p>
      <w:pPr>
        <w:spacing w:after="60"/>
        <w:ind w:left="369" w:hanging="255"/>
      </w:pPr>
      <w:r>
        <w:t xml:space="preserve">• </w:t>
      </w:r>
      <w:r>
        <w:t>orientación y tamaño de página correctos;</w:t>
      </w:r>
    </w:p>
    <w:p>
      <w:pPr>
        <w:spacing w:after="60"/>
        <w:ind w:left="369" w:hanging="255"/>
      </w:pPr>
      <w:r>
        <w:t xml:space="preserve">• </w:t>
      </w:r>
      <w:r>
        <w:t>título visible, centrado y sin línea decorativa;</w:t>
      </w:r>
    </w:p>
    <w:p>
      <w:pPr>
        <w:spacing w:after="60"/>
        <w:ind w:left="369" w:hanging="255"/>
      </w:pPr>
      <w:r>
        <w:t xml:space="preserve">• </w:t>
      </w:r>
      <w:r>
        <w:t>tabla centrada y contenida dentro de los márgenes;</w:t>
      </w:r>
    </w:p>
    <w:p>
      <w:pPr>
        <w:spacing w:after="60"/>
        <w:ind w:left="369" w:hanging="255"/>
      </w:pPr>
      <w:r>
        <w:t xml:space="preserve">• </w:t>
      </w:r>
      <w:r>
        <w:t>ninguna etiqueta o marcador cortado, superpuesto o pegado al borde;</w:t>
      </w:r>
    </w:p>
    <w:p>
      <w:pPr>
        <w:spacing w:after="60"/>
        <w:ind w:left="369" w:hanging="255"/>
      </w:pPr>
      <w:r>
        <w:t xml:space="preserve">• </w:t>
      </w:r>
      <w:r>
        <w:t xml:space="preserve">en la plantilla horizontal, </w:t>
      </w:r>
      <w:r>
        <w:rPr>
          <w:rFonts w:ascii="Consolas" w:hAnsi="Consolas"/>
          <w:color w:val="233648"/>
          <w:sz w:val="16"/>
        </w:rPr>
        <w:t>{{COLUMN:DEPARTAMENTO}}</w:t>
      </w:r>
      <w:r>
        <w:t xml:space="preserve"> y </w:t>
      </w:r>
      <w:r>
        <w:rPr>
          <w:rFonts w:ascii="Consolas" w:hAnsi="Consolas"/>
          <w:color w:val="233648"/>
          <w:sz w:val="16"/>
        </w:rPr>
        <w:t>{{COLUMN:VNRO_TLF1}}</w:t>
      </w:r>
      <w:r>
        <w:t xml:space="preserve"> deben permanecer completos y con un ajuste de línea visualmente razonable; no se permite partir los aliases manualmente;</w:t>
      </w:r>
    </w:p>
    <w:p>
      <w:pPr>
        <w:spacing w:after="60"/>
        <w:ind w:left="369" w:hanging="255"/>
      </w:pPr>
      <w:r>
        <w:t xml:space="preserve">• </w:t>
      </w:r>
      <w:r>
        <w:t>anchos visualmente distintos y coherentes con el tipo de columna;</w:t>
      </w:r>
    </w:p>
    <w:p>
      <w:pPr>
        <w:spacing w:after="60"/>
        <w:ind w:left="369" w:hanging="255"/>
      </w:pPr>
      <w:r>
        <w:t xml:space="preserve">• </w:t>
      </w:r>
      <w:r>
        <w:t>bordes internos y externos visibles y uniformes;</w:t>
      </w:r>
    </w:p>
    <w:p>
      <w:pPr>
        <w:spacing w:after="60"/>
        <w:ind w:left="369" w:hanging="255"/>
      </w:pPr>
      <w:r>
        <w:t xml:space="preserve">• </w:t>
      </w:r>
      <w:r>
        <w:t>footer centrado, legible y dentro del área imprimible;</w:t>
      </w:r>
    </w:p>
    <w:p>
      <w:pPr>
        <w:spacing w:after="60"/>
        <w:ind w:left="369" w:hanging="255"/>
      </w:pPr>
      <w:r>
        <w:t xml:space="preserve">• </w:t>
      </w:r>
      <w:r>
        <w:t>sin sustitución visible de fuente ni glifos faltantes;</w:t>
      </w:r>
    </w:p>
    <w:p>
      <w:pPr>
        <w:spacing w:after="60"/>
        <w:ind w:left="369" w:hanging="255"/>
      </w:pPr>
      <w:r>
        <w:t xml:space="preserve">• </w:t>
      </w:r>
      <w:r>
        <w:t>ninguna página en blanco adicional.</w:t>
      </w:r>
    </w:p>
    <w:p>
      <w:r>
        <w:t>Si falla un punto visual o estructural, corregir el generador, volver a generar</w:t>
      </w:r>
      <w:r>
        <w:t xml:space="preserve"> </w:t>
      </w:r>
      <w:r>
        <w:t>ambos DOCX y repetir toda esta sección. Los PDF son evidencia interna de QA,</w:t>
      </w:r>
      <w:r>
        <w:t xml:space="preserve"> </w:t>
      </w:r>
      <w:r>
        <w:t xml:space="preserve">quedan en </w:t>
      </w:r>
      <w:r>
        <w:rPr>
          <w:rFonts w:ascii="Consolas" w:hAnsi="Consolas"/>
          <w:color w:val="233648"/>
          <w:sz w:val="16"/>
        </w:rPr>
        <w:t>build\qa</w:t>
      </w:r>
      <w:r>
        <w:t xml:space="preserve"> y no forman parte de los artefactos finales.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calidad de las plantillas</dc:title>
  <dc:subject>Plantillas de referencia del contrato 1.0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