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Ejemplo ejecutable ENTIDADES</w:t>
      </w:r>
    </w:p>
    <w:p>
      <w:pPr>
        <w:spacing w:after="360"/>
        <w:jc w:val="center"/>
      </w:pPr>
      <w:r>
        <w:rPr>
          <w:rFonts w:ascii="Aptos" w:hAnsi="Aptos"/>
          <w:color w:val="4A5563"/>
          <w:sz w:val="22"/>
        </w:rPr>
        <w:t>Proyecto completo de referencia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283848"/>
          </w:tcPr>
          <w:p/>
        </w:tc>
      </w:tr>
    </w:tbl>
    <w:p/>
    <w:p>
      <w:r>
        <w:t>Este directorio contiene un proyecto completo que el compilador puede validar y compilar sin mover archivos. Los nombres de tablas son ilustrativos; solo la ejecución posterior en APEX exige sustituirlos por objetos que existan en el esquema de la aplicación.</w:t>
      </w:r>
    </w:p>
    <w:p>
      <w:pPr>
        <w:pStyle w:val="Heading1"/>
        <w:keepNext/>
      </w:pPr>
      <w:r>
        <w:t>Archivos</w:t>
      </w:r>
    </w:p>
    <w:p>
      <w:pPr>
        <w:spacing w:after="60"/>
        <w:ind w:left="369" w:hanging="255"/>
      </w:pPr>
      <w:r>
        <w:t xml:space="preserve">• </w:t>
      </w:r>
      <w:r>
        <w:rPr>
          <w:rFonts w:ascii="Consolas" w:hAnsi="Consolas"/>
          <w:color w:val="233648"/>
          <w:sz w:val="16"/>
        </w:rPr>
        <w:t>entidades.docx</w:t>
      </w:r>
      <w:r>
        <w:t>: plantilla Word restringida, A4 horizontal y con seis columnas.</w:t>
      </w:r>
    </w:p>
    <w:p>
      <w:pPr>
        <w:spacing w:after="60"/>
        <w:ind w:left="369" w:hanging="255"/>
      </w:pPr>
      <w:r>
        <w:t xml:space="preserve">• </w:t>
      </w:r>
      <w:r>
        <w:rPr>
          <w:rFonts w:ascii="Consolas" w:hAnsi="Consolas"/>
          <w:color w:val="233648"/>
          <w:sz w:val="16"/>
        </w:rPr>
        <w:t>entidades.sql</w:t>
      </w:r>
      <w:r>
        <w:t>: consulta de solo lectura con exactamente los seis aliases de la plantilla.</w:t>
      </w:r>
    </w:p>
    <w:p>
      <w:pPr>
        <w:spacing w:after="60"/>
        <w:ind w:left="369" w:hanging="255"/>
      </w:pPr>
      <w:r>
        <w:t xml:space="preserve">• </w:t>
      </w:r>
      <w:r>
        <w:rPr>
          <w:rFonts w:ascii="Consolas" w:hAnsi="Consolas"/>
          <w:color w:val="233648"/>
          <w:sz w:val="16"/>
        </w:rPr>
        <w:t>entidades.report.json</w:t>
      </w:r>
      <w:r>
        <w:t>: configuración, binds, anchos y estilos admitidos.</w:t>
      </w:r>
    </w:p>
    <w:p>
      <w:pPr>
        <w:spacing w:after="60"/>
        <w:ind w:left="369" w:hanging="255"/>
      </w:pPr>
      <w:r>
        <w:t xml:space="preserve">• </w:t>
      </w:r>
      <w:r>
        <w:rPr>
          <w:rFonts w:ascii="Consolas" w:hAnsi="Consolas"/>
          <w:color w:val="233648"/>
          <w:sz w:val="16"/>
        </w:rPr>
        <w:t>build_expected/</w:t>
      </w:r>
      <w:r>
        <w:t>: salida de referencia generada por el compilador.</w:t>
      </w:r>
    </w:p>
    <w:p>
      <w:r>
        <w:t xml:space="preserve">El DOCX se utiliza solamente durante la compilación local. En APEX se instala el paquete una vez y se pega el bloque </w:t>
      </w:r>
      <w:r>
        <w:rPr>
          <w:rFonts w:ascii="Consolas" w:hAnsi="Consolas"/>
          <w:color w:val="233648"/>
          <w:sz w:val="16"/>
        </w:rPr>
        <w:t>apex_process.sql</w:t>
      </w:r>
      <w:r>
        <w:t xml:space="preserve"> que genere al compilar. Las tablas del SQL (</w:t>
      </w:r>
      <w:r>
        <w:rPr>
          <w:rFonts w:ascii="Consolas" w:hAnsi="Consolas"/>
          <w:color w:val="233648"/>
          <w:sz w:val="16"/>
        </w:rPr>
        <w:t>entidad</w:t>
      </w:r>
      <w:r>
        <w:t xml:space="preserve">, </w:t>
      </w:r>
      <w:r>
        <w:rPr>
          <w:rFonts w:ascii="Consolas" w:hAnsi="Consolas"/>
          <w:color w:val="233648"/>
          <w:sz w:val="16"/>
        </w:rPr>
        <w:t>mae_departamento</w:t>
      </w:r>
      <w:r>
        <w:t xml:space="preserve">, </w:t>
      </w:r>
      <w:r>
        <w:rPr>
          <w:rFonts w:ascii="Consolas" w:hAnsi="Consolas"/>
          <w:color w:val="233648"/>
          <w:sz w:val="16"/>
        </w:rPr>
        <w:t>mae_distrito</w:t>
      </w:r>
      <w:r>
        <w:t>) son ilustrativas: el proceso solo funcionará en APEX después de adaptar el SQL a objetos reales y recompilar.</w:t>
      </w:r>
    </w:p>
    <w:p>
      <w:pPr>
        <w:pStyle w:val="Heading1"/>
        <w:keepNext/>
      </w:pPr>
      <w:r>
        <w:t>Contrato de la plantilla</w:t>
      </w:r>
    </w:p>
    <w:p>
      <w:r>
        <w:t>La plantilla incluye el título integrado: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7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Lines/>
              <w:spacing w:after="0"/>
            </w:pPr>
            <w:r>
              <w:rPr>
                <w:rFonts w:ascii="Consolas" w:hAnsi="Consolas"/>
                <w:color w:val="233648"/>
                <w:sz w:val="16"/>
              </w:rPr>
              <w:t>{{REPORT_TITLE}}</w:t>
            </w:r>
          </w:p>
        </w:tc>
      </w:tr>
    </w:tbl>
    <w:p>
      <w:r>
        <w:t>El pie de página incluye los valores integrados: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7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Lines/>
              <w:spacing w:after="0"/>
            </w:pPr>
            <w:r>
              <w:rPr>
                <w:rFonts w:ascii="Consolas" w:hAnsi="Consolas"/>
                <w:color w:val="233648"/>
                <w:sz w:val="16"/>
              </w:rPr>
              <w:t>Usuario: {{APP_USER}} | Fecha: {{GENERATED_AT}}</w:t>
            </w:r>
          </w:p>
        </w:tc>
      </w:tr>
    </w:tbl>
    <w:p>
      <w:r>
        <w:t xml:space="preserve">La tabla contiene una fila de etiquetas y otra de marcadores. Los seis aliases coinciden con el </w:t>
      </w:r>
      <w:r>
        <w:rPr>
          <w:rFonts w:ascii="Consolas" w:hAnsi="Consolas"/>
          <w:color w:val="233648"/>
          <w:sz w:val="16"/>
        </w:rPr>
        <w:t>SELECT</w:t>
      </w:r>
      <w: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 w:val="true"/>
        </w:trP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83848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Encabezado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83848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Marcador Word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83848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Alias SQL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DNI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keepNext/>
              <w:spacing w:after="0"/>
            </w:pPr>
            <w:r>
              <w:rPr>
                <w:rFonts w:ascii="Aptos" w:hAnsi="Aptos"/>
                <w:color w:val="233648"/>
                <w:sz w:val="16"/>
              </w:rPr>
              <w:t>{{COLUMN:VDNI}}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keepNext/>
              <w:spacing w:after="0"/>
            </w:pPr>
            <w:r>
              <w:rPr>
                <w:rFonts w:ascii="Aptos" w:hAnsi="Aptos"/>
                <w:color w:val="233648"/>
                <w:sz w:val="16"/>
              </w:rPr>
              <w:t>VDNI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Nombre completo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keepNext/>
              <w:spacing w:after="0"/>
            </w:pPr>
            <w:r>
              <w:rPr>
                <w:rFonts w:ascii="Aptos" w:hAnsi="Aptos"/>
                <w:color w:val="233648"/>
                <w:sz w:val="16"/>
              </w:rPr>
              <w:t>{{COLUMN:VNOM}}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keepNext/>
              <w:spacing w:after="0"/>
            </w:pPr>
            <w:r>
              <w:rPr>
                <w:rFonts w:ascii="Aptos" w:hAnsi="Aptos"/>
                <w:color w:val="233648"/>
                <w:sz w:val="16"/>
              </w:rPr>
              <w:t>VNOM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Dirección actual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keepNext/>
              <w:spacing w:after="0"/>
            </w:pPr>
            <w:r>
              <w:rPr>
                <w:rFonts w:ascii="Aptos" w:hAnsi="Aptos"/>
                <w:color w:val="233648"/>
                <w:sz w:val="16"/>
              </w:rPr>
              <w:t>{{COLUMN:VDIREC_ACTUAL}}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keepNext/>
              <w:spacing w:after="0"/>
            </w:pPr>
            <w:r>
              <w:rPr>
                <w:rFonts w:ascii="Aptos" w:hAnsi="Aptos"/>
                <w:color w:val="233648"/>
                <w:sz w:val="16"/>
              </w:rPr>
              <w:t>VDIREC_ACTUAL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Departamento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keepNext/>
              <w:spacing w:after="0"/>
            </w:pPr>
            <w:r>
              <w:rPr>
                <w:rFonts w:ascii="Aptos" w:hAnsi="Aptos"/>
                <w:color w:val="233648"/>
                <w:sz w:val="16"/>
              </w:rPr>
              <w:t>{{COLUMN:DEPARTAMENTO}}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keepNext/>
              <w:spacing w:after="0"/>
            </w:pPr>
            <w:r>
              <w:rPr>
                <w:rFonts w:ascii="Aptos" w:hAnsi="Aptos"/>
                <w:color w:val="233648"/>
                <w:sz w:val="16"/>
              </w:rPr>
              <w:t>DEPARTAMENTO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keepNext/>
              <w:spacing w:after="0"/>
            </w:pPr>
            <w:r>
              <w:rPr>
                <w:rFonts w:ascii="Aptos" w:hAnsi="Aptos"/>
                <w:sz w:val="16"/>
              </w:rPr>
              <w:t>Distrito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keepNext/>
              <w:spacing w:after="0"/>
            </w:pPr>
            <w:r>
              <w:rPr>
                <w:rFonts w:ascii="Aptos" w:hAnsi="Aptos"/>
                <w:color w:val="233648"/>
                <w:sz w:val="16"/>
              </w:rPr>
              <w:t>{{COLUMN:DISTRITO}}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keepNext/>
              <w:spacing w:after="0"/>
            </w:pPr>
            <w:r>
              <w:rPr>
                <w:rFonts w:ascii="Aptos" w:hAnsi="Aptos"/>
                <w:color w:val="233648"/>
                <w:sz w:val="16"/>
              </w:rPr>
              <w:t>DISTRITO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Teléfono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spacing w:after="0"/>
            </w:pPr>
            <w:r>
              <w:rPr>
                <w:rFonts w:ascii="Aptos" w:hAnsi="Aptos"/>
                <w:color w:val="233648"/>
                <w:sz w:val="16"/>
              </w:rPr>
              <w:t>{{COLUMN:VNRO_TLF1}}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spacing w:after="0"/>
            </w:pPr>
            <w:r>
              <w:rPr>
                <w:rFonts w:ascii="Aptos" w:hAnsi="Aptos"/>
                <w:color w:val="233648"/>
                <w:sz w:val="16"/>
              </w:rPr>
              <w:t>VNRO_TLF1</w:t>
            </w:r>
          </w:p>
        </w:tc>
      </w:tr>
    </w:tbl>
    <w:p>
      <w:pPr>
        <w:spacing w:after="20"/>
      </w:pPr>
    </w:p>
    <w:p>
      <w:r>
        <w:t xml:space="preserve">No se declararon campos </w:t>
      </w:r>
      <w:r>
        <w:rPr>
          <w:rFonts w:ascii="Consolas" w:hAnsi="Consolas"/>
          <w:color w:val="233648"/>
          <w:sz w:val="16"/>
        </w:rPr>
        <w:t>{{FIELD:...}}</w:t>
      </w:r>
      <w:r>
        <w:t xml:space="preserve">; por eso </w:t>
      </w:r>
      <w:r>
        <w:rPr>
          <w:rFonts w:ascii="Consolas" w:hAnsi="Consolas"/>
          <w:color w:val="233648"/>
          <w:sz w:val="16"/>
        </w:rPr>
        <w:t>fields</w:t>
      </w:r>
      <w:r>
        <w:t xml:space="preserve"> está vacío.</w:t>
      </w:r>
    </w:p>
    <w:p>
      <w:pPr>
        <w:pStyle w:val="Heading1"/>
        <w:keepNext/>
      </w:pPr>
      <w:r>
        <w:t>Binds lógicos y Page Items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 w:val="true"/>
        </w:trP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83848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Bind SQL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83848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Page Item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283848"/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Tipo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keepNext/>
              <w:spacing w:after="0"/>
            </w:pPr>
            <w:r>
              <w:rPr>
                <w:rFonts w:ascii="Aptos" w:hAnsi="Aptos"/>
                <w:color w:val="233648"/>
                <w:sz w:val="16"/>
              </w:rPr>
              <w:t>:DNI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keepNext/>
              <w:spacing w:after="0"/>
            </w:pPr>
            <w:r>
              <w:rPr>
                <w:rFonts w:ascii="Aptos" w:hAnsi="Aptos"/>
                <w:color w:val="233648"/>
                <w:sz w:val="16"/>
              </w:rPr>
              <w:t>P42_DNI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keepNext/>
              <w:spacing w:after="0"/>
            </w:pPr>
            <w:r>
              <w:rPr>
                <w:rFonts w:ascii="Aptos" w:hAnsi="Aptos"/>
                <w:color w:val="233648"/>
                <w:sz w:val="16"/>
              </w:rPr>
              <w:t>VARCHAR2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keepNext/>
              <w:spacing w:after="0"/>
            </w:pPr>
            <w:r>
              <w:rPr>
                <w:rFonts w:ascii="Aptos" w:hAnsi="Aptos"/>
                <w:color w:val="233648"/>
                <w:sz w:val="16"/>
              </w:rPr>
              <w:t>:DEPARTAMENTO_ID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keepNext/>
              <w:spacing w:after="0"/>
            </w:pPr>
            <w:r>
              <w:rPr>
                <w:rFonts w:ascii="Aptos" w:hAnsi="Aptos"/>
                <w:color w:val="233648"/>
                <w:sz w:val="16"/>
              </w:rPr>
              <w:t>P42_DEPARTAMENTO_ID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9"/>
          </w:tcPr>
          <w:p>
            <w:pPr>
              <w:keepNext/>
              <w:spacing w:after="0"/>
            </w:pPr>
            <w:r>
              <w:rPr>
                <w:rFonts w:ascii="Aptos" w:hAnsi="Aptos"/>
                <w:color w:val="233648"/>
                <w:sz w:val="16"/>
              </w:rPr>
              <w:t>NUMBER</w:t>
            </w:r>
          </w:p>
        </w:tc>
      </w:tr>
      <w:tr>
        <w:trPr>
          <w:cantSplit w:val="true"/>
        </w:trPr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33648"/>
                <w:sz w:val="16"/>
              </w:rPr>
              <w:t>:FECHA_DESDE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33648"/>
                <w:sz w:val="16"/>
              </w:rPr>
              <w:t>P42_FECHA_DESDE</w:t>
            </w:r>
          </w:p>
        </w:tc>
        <w:tc>
          <w:tcPr>
            <w:tcW w:type="dxa" w:w="3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/>
            </w:pPr>
            <w:r>
              <w:rPr>
                <w:rFonts w:ascii="Aptos" w:hAnsi="Aptos"/>
                <w:color w:val="233648"/>
                <w:sz w:val="16"/>
              </w:rPr>
              <w:t>DATE</w:t>
            </w:r>
            <w:r>
              <w:rPr>
                <w:rFonts w:ascii="Aptos" w:hAnsi="Aptos"/>
                <w:sz w:val="16"/>
              </w:rPr>
              <w:t xml:space="preserve">, máscara </w:t>
            </w:r>
            <w:r>
              <w:rPr>
                <w:rFonts w:ascii="Aptos" w:hAnsi="Aptos"/>
                <w:color w:val="233648"/>
                <w:sz w:val="16"/>
              </w:rPr>
              <w:t>DD/MM/YYYY</w:t>
            </w:r>
          </w:p>
        </w:tc>
      </w:tr>
    </w:tbl>
    <w:p>
      <w:pPr>
        <w:spacing w:after="20"/>
      </w:pPr>
    </w:p>
    <w:p>
      <w:r>
        <w:t xml:space="preserve">El JSON usa la clave vigente </w:t>
      </w:r>
      <w:r>
        <w:rPr>
          <w:rFonts w:ascii="Consolas" w:hAnsi="Consolas"/>
          <w:color w:val="233648"/>
          <w:sz w:val="16"/>
        </w:rPr>
        <w:t>bindings</w:t>
      </w:r>
      <w:r>
        <w:t xml:space="preserve">; cada entrada usa </w:t>
      </w:r>
      <w:r>
        <w:rPr>
          <w:rFonts w:ascii="Consolas" w:hAnsi="Consolas"/>
          <w:color w:val="233648"/>
          <w:sz w:val="16"/>
        </w:rPr>
        <w:t>bind</w:t>
      </w:r>
      <w:r>
        <w:t xml:space="preserve">, no </w:t>
      </w:r>
      <w:r>
        <w:rPr>
          <w:rFonts w:ascii="Consolas" w:hAnsi="Consolas"/>
          <w:color w:val="233648"/>
          <w:sz w:val="16"/>
        </w:rPr>
        <w:t>name</w:t>
      </w:r>
      <w:r>
        <w:t xml:space="preserve">. El proceso generado no concatena estos valores en el SQL: </w:t>
      </w:r>
      <w:r>
        <w:rPr>
          <w:rFonts w:ascii="Consolas" w:hAnsi="Consolas"/>
          <w:color w:val="233648"/>
          <w:sz w:val="16"/>
        </w:rPr>
        <w:t>PKG_CORPORATE_REPORTS</w:t>
      </w:r>
      <w:r>
        <w:t xml:space="preserve"> los obtiene del estado de sesión y los añade como parámetros tipados de </w:t>
      </w:r>
      <w:r>
        <w:rPr>
          <w:rFonts w:ascii="Consolas" w:hAnsi="Consolas"/>
          <w:color w:val="233648"/>
          <w:sz w:val="16"/>
        </w:rPr>
        <w:t>APEX_EXEC</w:t>
      </w:r>
      <w:r>
        <w:t>.</w:t>
      </w:r>
    </w:p>
    <w:p>
      <w:r>
        <w:t xml:space="preserve">Antes de la descarga, los tres Page Items deben estar en el estado de sesión. El botón de descarga usa </w:t>
      </w:r>
      <w:r>
        <w:rPr>
          <w:i/>
        </w:rPr>
        <w:t>Submit Page</w:t>
      </w:r>
      <w:r>
        <w:t>, que los envía automáticamente; no use una Dynamic Action Ajax para descargar.</w:t>
      </w:r>
    </w:p>
    <w:p>
      <w:r>
        <w:t xml:space="preserve">El proyecto declara además </w:t>
      </w:r>
      <w:r>
        <w:rPr>
          <w:rFonts w:ascii="Consolas" w:hAnsi="Consolas"/>
          <w:color w:val="233648"/>
          <w:sz w:val="16"/>
        </w:rPr>
        <w:t>P0_REPORT_FORMAT</w:t>
      </w:r>
      <w:r>
        <w:t xml:space="preserve"> y </w:t>
      </w:r>
      <w:r>
        <w:rPr>
          <w:rFonts w:ascii="Consolas" w:hAnsi="Consolas"/>
          <w:color w:val="233648"/>
          <w:sz w:val="16"/>
        </w:rPr>
        <w:t>P0_REPORT_ORIENTATION</w:t>
      </w:r>
      <w:r>
        <w:t xml:space="preserve"> en la página global (página 0), con valores de retorno </w:t>
      </w:r>
      <w:r>
        <w:rPr>
          <w:rFonts w:ascii="Consolas" w:hAnsi="Consolas"/>
          <w:color w:val="233648"/>
          <w:sz w:val="16"/>
        </w:rPr>
        <w:t>PDF</w:t>
      </w:r>
      <w:r>
        <w:t>/</w:t>
      </w:r>
      <w:r>
        <w:rPr>
          <w:rFonts w:ascii="Consolas" w:hAnsi="Consolas"/>
          <w:color w:val="233648"/>
          <w:sz w:val="16"/>
        </w:rPr>
        <w:t>XLSX</w:t>
      </w:r>
      <w:r>
        <w:t xml:space="preserve"> y </w:t>
      </w:r>
      <w:r>
        <w:rPr>
          <w:rFonts w:ascii="Consolas" w:hAnsi="Consolas"/>
          <w:color w:val="233648"/>
          <w:sz w:val="16"/>
        </w:rPr>
        <w:t>AUTO</w:t>
      </w:r>
      <w:r>
        <w:t>/</w:t>
      </w:r>
      <w:r>
        <w:rPr>
          <w:rFonts w:ascii="Consolas" w:hAnsi="Consolas"/>
          <w:color w:val="233648"/>
          <w:sz w:val="16"/>
        </w:rPr>
        <w:t>PORTRAIT</w:t>
      </w:r>
      <w:r>
        <w:t>/</w:t>
      </w:r>
      <w:r>
        <w:rPr>
          <w:rFonts w:ascii="Consolas" w:hAnsi="Consolas"/>
          <w:color w:val="233648"/>
          <w:sz w:val="16"/>
        </w:rPr>
        <w:t>LANDSCAPE</w:t>
      </w:r>
      <w:r>
        <w:t xml:space="preserve">. Si no desea que el usuario elija, elimine </w:t>
      </w:r>
      <w:r>
        <w:rPr>
          <w:rFonts w:ascii="Consolas" w:hAnsi="Consolas"/>
          <w:color w:val="233648"/>
          <w:sz w:val="16"/>
        </w:rPr>
        <w:t>format_item</w:t>
      </w:r>
      <w:r>
        <w:t xml:space="preserve"> y </w:t>
      </w:r>
      <w:r>
        <w:rPr>
          <w:rFonts w:ascii="Consolas" w:hAnsi="Consolas"/>
          <w:color w:val="233648"/>
          <w:sz w:val="16"/>
        </w:rPr>
        <w:t>orientation_item</w:t>
      </w:r>
      <w:r>
        <w:t xml:space="preserve"> del proyecto y recompile.</w:t>
      </w:r>
    </w:p>
    <w:p>
      <w:pPr>
        <w:pStyle w:val="Heading1"/>
        <w:keepNext/>
      </w:pPr>
      <w:r>
        <w:t>LOV: imprimir display, no return</w:t>
      </w:r>
    </w:p>
    <w:p>
      <w:r>
        <w:rPr>
          <w:rFonts w:ascii="Consolas" w:hAnsi="Consolas"/>
          <w:color w:val="233648"/>
          <w:sz w:val="16"/>
        </w:rPr>
        <w:t>P42_DEPARTAMENTO_ID</w:t>
      </w:r>
      <w:r>
        <w:t xml:space="preserve"> puede almacenar el identificador numérico del LOV. Ese valor sirve solo como filtro. El reporte imprime </w:t>
      </w:r>
      <w:r>
        <w:rPr>
          <w:rFonts w:ascii="Consolas" w:hAnsi="Consolas"/>
          <w:color w:val="233648"/>
          <w:sz w:val="16"/>
        </w:rPr>
        <w:t>d.descripcion AS departamento</w:t>
      </w:r>
      <w:r>
        <w:t>, por lo que el PDF recibe el texto visible y no el ID.</w:t>
      </w:r>
    </w:p>
    <w:p>
      <w:r>
        <w:t xml:space="preserve">La misma regla debe aplicarse a cualquier otro LOV: la consulta del reporte debe hacer el </w:t>
      </w:r>
      <w:r>
        <w:rPr>
          <w:rFonts w:ascii="Consolas" w:hAnsi="Consolas"/>
          <w:color w:val="233648"/>
          <w:sz w:val="16"/>
        </w:rPr>
        <w:t>JOIN</w:t>
      </w:r>
      <w:r>
        <w:t xml:space="preserve"> correspondiente y seleccionar el display con el alias declarado en Word.</w:t>
      </w:r>
    </w:p>
    <w:p>
      <w:pPr>
        <w:pStyle w:val="Heading1"/>
        <w:keepNext/>
      </w:pPr>
      <w:r>
        <w:t>Anchos y exclusiones</w:t>
      </w:r>
    </w:p>
    <w:p>
      <w:pPr>
        <w:spacing w:after="60"/>
        <w:ind w:left="369" w:hanging="255"/>
      </w:pPr>
      <w:r>
        <w:t xml:space="preserve">• </w:t>
      </w:r>
      <w:r>
        <w:rPr>
          <w:rFonts w:ascii="Consolas" w:hAnsi="Consolas"/>
          <w:color w:val="233648"/>
          <w:sz w:val="16"/>
        </w:rPr>
        <w:t>VDNI</w:t>
      </w:r>
      <w:r>
        <w:t xml:space="preserve"> y </w:t>
      </w:r>
      <w:r>
        <w:rPr>
          <w:rFonts w:ascii="Consolas" w:hAnsi="Consolas"/>
          <w:color w:val="233648"/>
          <w:sz w:val="16"/>
        </w:rPr>
        <w:t>VNRO_TLF1</w:t>
      </w:r>
      <w:r>
        <w:t xml:space="preserve"> usan </w:t>
      </w:r>
      <w:r>
        <w:rPr>
          <w:rFonts w:ascii="Consolas" w:hAnsi="Consolas"/>
          <w:color w:val="233648"/>
          <w:sz w:val="16"/>
        </w:rPr>
        <w:t>FIXED_PERCENT</w:t>
      </w:r>
      <w:r>
        <w:t>.</w:t>
      </w:r>
    </w:p>
    <w:p>
      <w:pPr>
        <w:spacing w:after="60"/>
        <w:ind w:left="369" w:hanging="255"/>
      </w:pPr>
      <w:r>
        <w:t xml:space="preserve">• </w:t>
      </w:r>
      <w:r>
        <w:rPr>
          <w:rFonts w:ascii="Consolas" w:hAnsi="Consolas"/>
          <w:color w:val="233648"/>
          <w:sz w:val="16"/>
        </w:rPr>
        <w:t>VNOM</w:t>
      </w:r>
      <w:r>
        <w:t xml:space="preserve">, </w:t>
      </w:r>
      <w:r>
        <w:rPr>
          <w:rFonts w:ascii="Consolas" w:hAnsi="Consolas"/>
          <w:color w:val="233648"/>
          <w:sz w:val="16"/>
        </w:rPr>
        <w:t>DEPARTAMENTO</w:t>
      </w:r>
      <w:r>
        <w:t xml:space="preserve"> y </w:t>
      </w:r>
      <w:r>
        <w:rPr>
          <w:rFonts w:ascii="Consolas" w:hAnsi="Consolas"/>
          <w:color w:val="233648"/>
          <w:sz w:val="16"/>
        </w:rPr>
        <w:t>DISTRITO</w:t>
      </w:r>
      <w:r>
        <w:t xml:space="preserve"> distribuyen el espacio restante mediante </w:t>
      </w:r>
      <w:r>
        <w:rPr>
          <w:rFonts w:ascii="Consolas" w:hAnsi="Consolas"/>
          <w:color w:val="233648"/>
          <w:sz w:val="16"/>
        </w:rPr>
        <w:t>WEIGHT</w:t>
      </w:r>
      <w:r>
        <w:t>.</w:t>
      </w:r>
    </w:p>
    <w:p>
      <w:pPr>
        <w:spacing w:after="60"/>
        <w:ind w:left="369" w:hanging="255"/>
      </w:pPr>
      <w:r>
        <w:t xml:space="preserve">• </w:t>
      </w:r>
      <w:r>
        <w:rPr>
          <w:rFonts w:ascii="Consolas" w:hAnsi="Consolas"/>
          <w:color w:val="233648"/>
          <w:sz w:val="16"/>
        </w:rPr>
        <w:t>VDIREC_ACTUAL</w:t>
      </w:r>
      <w:r>
        <w:t xml:space="preserve"> usa </w:t>
      </w:r>
      <w:r>
        <w:rPr>
          <w:rFonts w:ascii="Consolas" w:hAnsi="Consolas"/>
          <w:color w:val="233648"/>
          <w:sz w:val="16"/>
        </w:rPr>
        <w:t>AUTO</w:t>
      </w:r>
      <w:r>
        <w:t>; solo puede existir una columna con ese modo.</w:t>
      </w:r>
    </w:p>
    <w:p>
      <w:pPr>
        <w:spacing w:after="60"/>
        <w:ind w:left="369" w:hanging="255"/>
      </w:pPr>
      <w:r>
        <w:t xml:space="preserve">• </w:t>
      </w:r>
      <w:r>
        <w:rPr>
          <w:rFonts w:ascii="Consolas" w:hAnsi="Consolas"/>
          <w:color w:val="233648"/>
          <w:sz w:val="16"/>
        </w:rPr>
        <w:t>excluded_columns</w:t>
      </w:r>
      <w:r>
        <w:t xml:space="preserve"> está presente y vacío. Para una exclusión institucional se agrega allí uno de los seis aliases; no se usan claves antiguas como </w:t>
      </w:r>
      <w:r>
        <w:rPr>
          <w:rFonts w:ascii="Consolas" w:hAnsi="Consolas"/>
          <w:color w:val="233648"/>
          <w:sz w:val="16"/>
        </w:rPr>
        <w:t>exclude_columns</w:t>
      </w:r>
      <w:r>
        <w:t>.</w:t>
      </w:r>
    </w:p>
    <w:p>
      <w:r>
        <w:t xml:space="preserve">Los estilos avanzados están en </w:t>
      </w:r>
      <w:r>
        <w:rPr>
          <w:rFonts w:ascii="Consolas" w:hAnsi="Consolas"/>
          <w:color w:val="233648"/>
          <w:sz w:val="16"/>
        </w:rPr>
        <w:t>style_overrides</w:t>
      </w:r>
      <w:r>
        <w:t xml:space="preserve">. La zona del título se denomina </w:t>
      </w:r>
      <w:r>
        <w:rPr>
          <w:rFonts w:ascii="Consolas" w:hAnsi="Consolas"/>
          <w:color w:val="233648"/>
          <w:sz w:val="16"/>
        </w:rPr>
        <w:t>title</w:t>
      </w:r>
      <w:r>
        <w:t xml:space="preserve">; </w:t>
      </w:r>
      <w:r>
        <w:rPr>
          <w:rFonts w:ascii="Consolas" w:hAnsi="Consolas"/>
          <w:color w:val="233648"/>
          <w:sz w:val="16"/>
        </w:rPr>
        <w:t>header</w:t>
      </w:r>
      <w:r>
        <w:t xml:space="preserve"> es una compatibilidad antigua y no se utiliza en este ejemplo.</w:t>
      </w:r>
    </w:p>
    <w:p>
      <w:pPr>
        <w:pStyle w:val="Heading1"/>
        <w:keepNext/>
      </w:pPr>
      <w:r>
        <w:t>Validar y compilar</w:t>
      </w:r>
    </w:p>
    <w:p>
      <w:r>
        <w:t>Desde la raíz del proyecto, con el entorno virtual activado: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7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Lines/>
              <w:spacing w:after="0"/>
            </w:pPr>
            <w:r>
              <w:rPr>
                <w:rFonts w:ascii="Consolas" w:hAnsi="Consolas"/>
                <w:color w:val="233648"/>
                <w:sz w:val="16"/>
              </w:rPr>
              <w:t>python -m corporate_report_compiler validate `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 xml:space="preserve">  --project .\examples\entidades.report.json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>python -m corporate_report_compiler compile `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 xml:space="preserve">  --project .\examples\entidades.report.json `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 xml:space="preserve">  --output .\build\entidades</w:t>
            </w:r>
          </w:p>
        </w:tc>
      </w:tr>
    </w:tbl>
    <w:p>
      <w:r>
        <w:t>Compare la salida con la referencia; los tres comandos deben indicar que no hay diferencias: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7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Lines/>
              <w:spacing w:after="0"/>
            </w:pPr>
            <w:r>
              <w:rPr>
                <w:rFonts w:ascii="Consolas" w:hAnsi="Consolas"/>
                <w:color w:val="233648"/>
                <w:sz w:val="16"/>
              </w:rPr>
              <w:t>fc.exe /b .\build\entidades\template.json .\examples\build_expected\template.json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>fc.exe /b .\build\entidades\validation.json .\examples\build_expected\validation.json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>fc.exe /b .\build\entidades\apex_process.sql .\examples\build_expected\apex_process.sql</w:t>
            </w:r>
          </w:p>
        </w:tc>
      </w:tr>
    </w:tbl>
    <w:p>
      <w:r>
        <w:t xml:space="preserve">No compile sobre </w:t>
      </w:r>
      <w:r>
        <w:rPr>
          <w:rFonts w:ascii="Consolas" w:hAnsi="Consolas"/>
          <w:color w:val="233648"/>
          <w:sz w:val="16"/>
        </w:rPr>
        <w:t>examples\build_expected</w:t>
      </w:r>
      <w:r>
        <w:t>: es la referencia que detecta regresiones.</w:t>
      </w:r>
    </w:p>
    <w:p>
      <w:r>
        <w:t>En Linux o macOS: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5F7F9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Lines/>
              <w:spacing w:after="0"/>
            </w:pPr>
            <w:r>
              <w:rPr>
                <w:rFonts w:ascii="Consolas" w:hAnsi="Consolas"/>
                <w:color w:val="233648"/>
                <w:sz w:val="16"/>
              </w:rPr>
              <w:t>PYTHONPATH=src python -m corporate_report_compiler compile \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 xml:space="preserve">  --project examples/entidades.report.json \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 xml:space="preserve">  --output build/entidades</w:t>
            </w:r>
            <w:r>
              <w:br/>
            </w:r>
            <w:r>
              <w:rPr>
                <w:rFonts w:ascii="Consolas" w:hAnsi="Consolas"/>
                <w:color w:val="233648"/>
                <w:sz w:val="16"/>
              </w:rPr>
              <w:t>cmp build/entidades/apex_process.sql examples/build_expected/apex_process.sql</w:t>
            </w:r>
          </w:p>
        </w:tc>
      </w:tr>
    </w:tbl>
    <w:p>
      <w:r>
        <w:t>Una validación correcta no escribe archivos. La compilación genera:</w:t>
      </w:r>
    </w:p>
    <w:p>
      <w:pPr>
        <w:spacing w:after="60"/>
        <w:ind w:left="369" w:hanging="255"/>
      </w:pPr>
      <w:r>
        <w:t xml:space="preserve">• </w:t>
      </w:r>
      <w:r>
        <w:rPr>
          <w:rFonts w:ascii="Consolas" w:hAnsi="Consolas"/>
          <w:color w:val="233648"/>
          <w:sz w:val="16"/>
        </w:rPr>
        <w:t>template.json</w:t>
      </w:r>
      <w:r>
        <w:t>: contrato normalizado y estilos extraídos del DOCX;</w:t>
      </w:r>
    </w:p>
    <w:p>
      <w:pPr>
        <w:spacing w:after="60"/>
        <w:ind w:left="369" w:hanging="255"/>
      </w:pPr>
      <w:r>
        <w:t xml:space="preserve">• </w:t>
      </w:r>
      <w:r>
        <w:rPr>
          <w:rFonts w:ascii="Consolas" w:hAnsi="Consolas"/>
          <w:color w:val="233648"/>
          <w:sz w:val="16"/>
        </w:rPr>
        <w:t>validation.json</w:t>
      </w:r>
      <w:r>
        <w:t>: diagnóstico reproducible de la compilación;</w:t>
      </w:r>
    </w:p>
    <w:p>
      <w:pPr>
        <w:spacing w:after="60"/>
        <w:ind w:left="369" w:hanging="255"/>
      </w:pPr>
      <w:r>
        <w:t xml:space="preserve">• </w:t>
      </w:r>
      <w:r>
        <w:rPr>
          <w:rFonts w:ascii="Consolas" w:hAnsi="Consolas"/>
          <w:color w:val="233648"/>
          <w:sz w:val="16"/>
        </w:rPr>
        <w:t>apex_process.sql</w:t>
      </w:r>
      <w:r>
        <w:t xml:space="preserve">: llamada mínima a </w:t>
      </w:r>
      <w:r>
        <w:rPr>
          <w:rFonts w:ascii="Consolas" w:hAnsi="Consolas"/>
          <w:color w:val="233648"/>
          <w:sz w:val="16"/>
        </w:rPr>
        <w:t>PKG_CORPORATE_REPORTS.DOWNLOAD_QUERY</w:t>
      </w:r>
      <w:r>
        <w:t>.</w:t>
      </w:r>
    </w:p>
    <w:p>
      <w:pPr>
        <w:pStyle w:val="Heading1"/>
        <w:keepNext/>
      </w:pPr>
      <w:r>
        <w:t>Adaptación a una página real</w:t>
      </w:r>
    </w:p>
    <w:p>
      <w:pPr>
        <w:spacing w:after="60"/>
        <w:ind w:left="369" w:hanging="255"/>
      </w:pPr>
      <w:r>
        <w:t xml:space="preserve">1. </w:t>
      </w:r>
      <w:r>
        <w:t>Cambiar las tablas y joins del SQL manteniendo los aliases del DOCX.</w:t>
      </w:r>
    </w:p>
    <w:p>
      <w:pPr>
        <w:spacing w:after="60"/>
        <w:ind w:left="369" w:hanging="255"/>
      </w:pPr>
      <w:r>
        <w:t xml:space="preserve">2. </w:t>
      </w:r>
      <w:r>
        <w:t xml:space="preserve">Cambiar los Page Items de </w:t>
      </w:r>
      <w:r>
        <w:rPr>
          <w:rFonts w:ascii="Consolas" w:hAnsi="Consolas"/>
          <w:color w:val="233648"/>
          <w:sz w:val="16"/>
        </w:rPr>
        <w:t>bindings</w:t>
      </w:r>
      <w:r>
        <w:t xml:space="preserve"> por los de la página.</w:t>
      </w:r>
    </w:p>
    <w:p>
      <w:pPr>
        <w:spacing w:after="60"/>
        <w:ind w:left="369" w:hanging="255"/>
      </w:pPr>
      <w:r>
        <w:t xml:space="preserve">3. </w:t>
      </w:r>
      <w:r>
        <w:t xml:space="preserve">Si se cambia una columna, actualizar coordinadamente Word, el </w:t>
      </w:r>
      <w:r>
        <w:rPr>
          <w:rFonts w:ascii="Consolas" w:hAnsi="Consolas"/>
          <w:color w:val="233648"/>
          <w:sz w:val="16"/>
        </w:rPr>
        <w:t>SELECT</w:t>
      </w:r>
      <w:r>
        <w:t xml:space="preserve"> y </w:t>
      </w:r>
      <w:r>
        <w:rPr>
          <w:rFonts w:ascii="Consolas" w:hAnsi="Consolas"/>
          <w:color w:val="233648"/>
          <w:sz w:val="16"/>
        </w:rPr>
        <w:t>column_widths</w:t>
      </w:r>
      <w:r>
        <w:t>.</w:t>
      </w:r>
    </w:p>
    <w:p>
      <w:pPr>
        <w:spacing w:after="60"/>
        <w:ind w:left="369" w:hanging="255"/>
      </w:pPr>
      <w:r>
        <w:t xml:space="preserve">4. </w:t>
      </w:r>
      <w:r>
        <w:t>Ajustar título, nombre de archivo, límite de filas, exclusiones y anchos.</w:t>
      </w:r>
    </w:p>
    <w:p>
      <w:pPr>
        <w:spacing w:after="60"/>
        <w:ind w:left="369" w:hanging="255"/>
      </w:pPr>
      <w:r>
        <w:t xml:space="preserve">5. </w:t>
      </w:r>
      <w:r>
        <w:t>Validar y compilar localmente.</w:t>
      </w:r>
    </w:p>
    <w:p>
      <w:pPr>
        <w:spacing w:after="60"/>
        <w:ind w:left="369" w:hanging="255"/>
      </w:pPr>
      <w:r>
        <w:t xml:space="preserve">6. </w:t>
      </w:r>
      <w:r>
        <w:t xml:space="preserve">Revisar </w:t>
      </w:r>
      <w:r>
        <w:rPr>
          <w:rFonts w:ascii="Consolas" w:hAnsi="Consolas"/>
          <w:color w:val="233648"/>
          <w:sz w:val="16"/>
        </w:rPr>
        <w:t>template.json</w:t>
      </w:r>
      <w:r>
        <w:t xml:space="preserve">, </w:t>
      </w:r>
      <w:r>
        <w:rPr>
          <w:rFonts w:ascii="Consolas" w:hAnsi="Consolas"/>
          <w:color w:val="233648"/>
          <w:sz w:val="16"/>
        </w:rPr>
        <w:t>validation.json</w:t>
      </w:r>
      <w:r>
        <w:t xml:space="preserve"> y </w:t>
      </w:r>
      <w:r>
        <w:rPr>
          <w:rFonts w:ascii="Consolas" w:hAnsi="Consolas"/>
          <w:color w:val="233648"/>
          <w:sz w:val="16"/>
        </w:rPr>
        <w:t>apex_process.sql</w:t>
      </w:r>
      <w:r>
        <w:t>.</w:t>
      </w:r>
    </w:p>
    <w:p>
      <w:pPr>
        <w:spacing w:after="60"/>
        <w:ind w:left="369" w:hanging="255"/>
      </w:pPr>
      <w:r>
        <w:t xml:space="preserve">7. </w:t>
      </w:r>
      <w:r>
        <w:t>Copiar el proceso generado a APEX (Manual de uso, sección 9) y probarlo allí. Una validación local correcta no equivale a aceptación en APEX.</w:t>
      </w:r>
    </w:p>
    <w:p>
      <w:r>
        <w:t>El SQL, el JSON y el proceso son artefactos administrados por Informática. No deben recibirse desde el navegador ni ser editables por el usuario final.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4A5563"/>
        <w:sz w:val="15"/>
      </w:rPr>
      <w:t>Uso interno · Oracle APEX 24.2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4A5563"/>
        <w:sz w:val="15"/>
      </w:rPr>
      <w:t>APEX WORD REPORT COMPILER  ·  DOCUMENTACIÓN 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52B3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8384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A556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A556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28384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Ejemplo ejecutable ENTIDADES</dc:title>
  <dc:subject>Proyecto completo de referencia</dc:subject>
  <dc:creator>Área de Informática</dc:creator>
  <cp:keywords>Oracle APEX, reportes, Word, APEX_DATA_EXPORT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