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proyectos/demo/entidades/entidades.docx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Dos modos</w:t>
      </w:r>
    </w:p>
    <w:p>
      <w:pPr>
        <w:spacing w:after="60"/>
        <w:ind w:left="369" w:hanging="255"/>
      </w:pPr>
      <w:r>
        <w:t xml:space="preserve">• </w:t>
      </w:r>
      <w:r>
        <w:rPr>
          <w:b/>
        </w:rPr>
        <w:t>Modo simple</w:t>
      </w:r>
      <w:r>
        <w:t xml:space="preserve"> (</w:t>
      </w:r>
      <w:r>
        <w:rPr>
          <w:rFonts w:ascii="Consolas" w:hAnsi="Consolas"/>
          <w:color w:val="233648"/>
          <w:sz w:val="16"/>
        </w:rPr>
        <w:t>corporate-report-project/1.0</w:t>
      </w:r>
      <w:r>
        <w:t xml:space="preserve">): un título, una tabla y un pie, impresos con </w:t>
      </w:r>
      <w:r>
        <w:rPr>
          <w:rFonts w:ascii="Consolas" w:hAnsi="Consolas"/>
          <w:color w:val="233648"/>
          <w:sz w:val="16"/>
        </w:rPr>
        <w:t>APEX_DATA_EXPORT</w:t>
      </w:r>
      <w:r>
        <w:t>. También genera XLSX, que lleva solo la fila de títulos y los datos (sin título, usuario, fecha ni pie), listo para filtrar y analizar.</w:t>
      </w:r>
    </w:p>
    <w:p>
      <w:pPr>
        <w:spacing w:after="60"/>
        <w:ind w:left="369" w:hanging="255"/>
      </w:pPr>
      <w:r>
        <w:t xml:space="preserve">• </w:t>
      </w:r>
      <w:r>
        <w:rPr>
          <w:b/>
        </w:rPr>
        <w:t>Modo layout</w:t>
      </w:r>
      <w:r>
        <w:t xml:space="preserve"> (</w:t>
      </w:r>
      <w:r>
        <w:rPr>
          <w:rFonts w:ascii="Consolas" w:hAnsi="Consolas"/>
          <w:color w:val="233648"/>
          <w:sz w:val="16"/>
        </w:rPr>
        <w:t>corporate-layout-project/1.0</w:t>
      </w:r>
      <w:r>
        <w:t>): varias tablas, cuadrículas con bordes visibles, blancos o sin borde, totales y número de página, impresos por el motor PDF en PL/SQL (</w:t>
      </w:r>
      <w:r>
        <w:rPr>
          <w:rFonts w:ascii="Consolas" w:hAnsi="Consolas"/>
          <w:color w:val="233648"/>
          <w:sz w:val="16"/>
        </w:rPr>
        <w:t>sql/modo_layout</w:t>
      </w:r>
      <w:r>
        <w:t xml:space="preserve">). Una consulta por archivo, como el Data Model de Oracle Reports. Ejemplo ficticio: </w:t>
      </w:r>
      <w:r>
        <w:rPr>
          <w:rFonts w:ascii="Consolas" w:hAnsi="Consolas"/>
          <w:color w:val="233648"/>
          <w:sz w:val="16"/>
        </w:rPr>
        <w:t>proyectos/demo/estado_cuenta</w:t>
      </w:r>
      <w:r>
        <w:t xml:space="preserve">. Con el </w:t>
      </w:r>
      <w:r>
        <w:rPr>
          <w:rFonts w:ascii="Consolas" w:hAnsi="Consolas"/>
          <w:color w:val="233648"/>
          <w:sz w:val="16"/>
        </w:rPr>
        <w:t>.rdf</w:t>
      </w:r>
      <w:r>
        <w:t xml:space="preserve"> del reporte original importa sus consultas y convierte fórmulas, marcadores de posición, totales y Data Links; la GUI lista lo que falte a mano. Ver Manual de uso, sección 13.</w:t>
      </w:r>
    </w:p>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la carpeta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.\proyectos\demo\entidades\generado\entidades.report.json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apex_process.sql -&gt; proyectos\demo\entidades\ ; template.json y validation.json -&gt; generado\</w:t>
            </w:r>
            <w:r>
              <w:br/>
            </w:r>
            <w:r>
              <w:rPr>
                <w:rFonts w:ascii="Consolas" w:hAnsi="Consolas"/>
                <w:color w:val="233648"/>
                <w:sz w:val="16"/>
              </w:rPr>
              <w:t>apex-report-compiler compile `</w:t>
            </w:r>
            <w:r>
              <w:br/>
            </w:r>
            <w:r>
              <w:rPr>
                <w:rFonts w:ascii="Consolas" w:hAnsi="Consolas"/>
                <w:color w:val="233648"/>
                <w:sz w:val="16"/>
              </w:rPr>
              <w:t xml:space="preserve">  --project .\proyectos\demo\entidades\generado\entidades.report.json</w:t>
            </w:r>
          </w:p>
        </w:tc>
      </w:tr>
    </w:tbl>
    <w:p>
      <w:r>
        <w:t xml:space="preserve">Cargar un Word propio (se copia a </w:t>
      </w:r>
      <w:r>
        <w:rPr>
          <w:rFonts w:ascii="Consolas" w:hAnsi="Consolas"/>
          <w:color w:val="233648"/>
          <w:sz w:val="16"/>
        </w:rPr>
        <w:t>proyectos\&lt;nombre&gt;\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Crea proyectos\ventas\ventas.docx y proyectos\ventas\generado\ventas.sql/.report.json</w:t>
            </w:r>
            <w:r>
              <w:br/>
            </w:r>
            <w:r>
              <w:rPr>
                <w:rFonts w:ascii="Consolas" w:hAnsi="Consolas"/>
                <w:color w:val="233648"/>
                <w:sz w:val="16"/>
              </w:rPr>
              <w:t>apex-report-compiler new --docx C:\Descargas\ventas.docx --page 42</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en </w:t>
      </w:r>
      <w:r>
        <w:rPr>
          <w:rFonts w:ascii="Consolas" w:hAnsi="Consolas"/>
          <w:color w:val="233648"/>
          <w:sz w:val="16"/>
        </w:rPr>
        <w:t>proyectos\&lt;nombre&gt;\</w:t>
      </w:r>
      <w:r>
        <w:t xml:space="preserve">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.\proyectos\demo\entidades\generado\entidades.report.json</w:t>
            </w:r>
          </w:p>
        </w:tc>
      </w:tr>
    </w:tbl>
    <w:p>
      <w:pPr>
        <w:pStyle w:val="Heading1"/>
        <w:keepNext/>
      </w:pPr>
      <w:r>
        <w:t>Artefactos generados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proyectos\ventas\</w:t>
            </w:r>
            <w:r>
              <w:br/>
            </w:r>
            <w:r>
              <w:rPr>
                <w:rFonts w:ascii="Consolas" w:hAnsi="Consolas"/>
                <w:color w:val="233648"/>
                <w:sz w:val="16"/>
              </w:rPr>
              <w:t xml:space="preserve">  ventas.docx            &lt;- plantilla</w:t>
            </w:r>
            <w:r>
              <w:br/>
            </w:r>
            <w:r>
              <w:rPr>
                <w:rFonts w:ascii="Consolas" w:hAnsi="Consolas"/>
                <w:color w:val="233648"/>
                <w:sz w:val="16"/>
              </w:rPr>
              <w:t xml:space="preserve">  apex_process.sql       &lt;- proceso PL/SQL listo para revisar y copiar en APEX</w:t>
            </w:r>
            <w:r>
              <w:br/>
            </w:r>
            <w:r>
              <w:rPr>
                <w:rFonts w:ascii="Consolas" w:hAnsi="Consolas"/>
                <w:color w:val="233648"/>
                <w:sz w:val="16"/>
              </w:rPr>
              <w:t xml:space="preserve">  generado\</w:t>
            </w:r>
            <w:r>
              <w:br/>
            </w:r>
            <w:r>
              <w:rPr>
                <w:rFonts w:ascii="Consolas" w:hAnsi="Consolas"/>
                <w:color w:val="233648"/>
                <w:sz w:val="16"/>
              </w:rPr>
              <w:t xml:space="preserve">    ventas.sql           &lt;- consulta fuente (su texto queda dentro de apex_process.sql)</w:t>
            </w:r>
            <w:r>
              <w:br/>
            </w:r>
            <w:r>
              <w:rPr>
                <w:rFonts w:ascii="Consolas" w:hAnsi="Consolas"/>
                <w:color w:val="233648"/>
                <w:sz w:val="16"/>
              </w:rPr>
              <w:t xml:space="preserve">    ventas.report.json   &lt;- proyecto: binds, campos, anchos, estilos</w:t>
            </w:r>
            <w:r>
              <w:br/>
            </w:r>
            <w:r>
              <w:rPr>
                <w:rFonts w:ascii="Consolas" w:hAnsi="Consolas"/>
                <w:color w:val="233648"/>
                <w:sz w:val="16"/>
              </w:rPr>
              <w:t xml:space="preserve">    template.json        &lt;- interpretación canónica de la plantilla y configuración</w:t>
            </w:r>
            <w:r>
              <w:br/>
            </w:r>
            <w:r>
              <w:rPr>
                <w:rFonts w:ascii="Consolas" w:hAnsi="Consolas"/>
                <w:color w:val="233648"/>
                <w:sz w:val="16"/>
              </w:rPr>
              <w:t xml:space="preserve">    validation.json      &lt;- diagnósticos reproducibles</w:t>
            </w:r>
          </w:p>
        </w:tc>
      </w:tr>
    </w:tbl>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sql/modo_simple/pkg_corporate_reports.sql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xml:space="preserve">: qué contiene </w:t>
      </w:r>
      <w:r>
        <w:rPr>
          <w:rFonts w:ascii="Consolas" w:hAnsi="Consolas"/>
          <w:color w:val="233648"/>
          <w:sz w:val="16"/>
        </w:rPr>
        <w:t>sql/</w:t>
      </w:r>
      <w:r>
        <w:t xml:space="preserve"> (los motores comunes de cada modo), instalación y seguridad.</w:t>
      </w:r>
    </w:p>
    <w:p>
      <w:pPr>
        <w:spacing w:after="60"/>
        <w:ind w:left="369" w:hanging="255"/>
      </w:pPr>
      <w:r>
        <w:t xml:space="preserve">• </w:t>
      </w:r>
      <w:r>
        <w:rPr>
          <w:rFonts w:ascii="Consolas" w:hAnsi="Consolas"/>
          <w:color w:val="233648"/>
          <w:sz w:val="16"/>
        </w:rPr>
        <w:t>proyectos/</w:t>
      </w:r>
      <w:r>
        <w:t xml:space="preserve">: una carpeta por reporte, con el mismo nombre que su DOCX. Junto al DOCX queda </w:t>
      </w:r>
      <w:r>
        <w:rPr>
          <w:rFonts w:ascii="Consolas" w:hAnsi="Consolas"/>
          <w:color w:val="233648"/>
          <w:sz w:val="16"/>
        </w:rPr>
        <w:t>apex_process.sql</w:t>
      </w:r>
      <w:r>
        <w:t xml:space="preserve"> (lo que se pega en APEX); el material de trabajo va en </w:t>
      </w:r>
      <w:r>
        <w:rPr>
          <w:rFonts w:ascii="Consolas" w:hAnsi="Consolas"/>
          <w:color w:val="233648"/>
          <w:sz w:val="16"/>
        </w:rPr>
        <w:t>generado/</w:t>
      </w:r>
      <w:r>
        <w:t xml:space="preserve">. Volver a cargar un DOCX con el mismo nombre reemplaza solo esos archivos, con copias </w:t>
      </w:r>
      <w:r>
        <w:rPr>
          <w:rFonts w:ascii="Consolas" w:hAnsi="Consolas"/>
          <w:color w:val="233648"/>
          <w:sz w:val="16"/>
        </w:rPr>
        <w:t>.bak</w:t>
      </w:r>
      <w:r>
        <w:t>; nada más se borra.</w:t>
      </w:r>
    </w:p>
    <w:p>
      <w:pPr>
        <w:spacing w:after="60"/>
        <w:ind w:left="369" w:hanging="255"/>
      </w:pPr>
      <w:r>
        <w:t xml:space="preserve">• </w:t>
      </w:r>
      <w:r>
        <w:rPr>
          <w:rFonts w:ascii="Consolas" w:hAnsi="Consolas"/>
          <w:color w:val="233648"/>
          <w:sz w:val="16"/>
        </w:rPr>
        <w:t>proyectos/demo/</w:t>
      </w:r>
      <w:r>
        <w:t xml:space="preserve">: proyectos de demostración ejecutables, uno por modo: </w:t>
      </w:r>
      <w:r>
        <w:rPr>
          <w:rFonts w:ascii="Consolas" w:hAnsi="Consolas"/>
          <w:color w:val="233648"/>
          <w:sz w:val="16"/>
        </w:rPr>
        <w:t>entidades</w:t>
      </w:r>
      <w:r>
        <w:t xml:space="preserve"> (modo simple, página 70) y </w:t>
      </w:r>
      <w:r>
        <w:rPr>
          <w:rFonts w:ascii="Consolas" w:hAnsi="Consolas"/>
          <w:color w:val="233648"/>
          <w:sz w:val="16"/>
        </w:rPr>
        <w:t>estado_cuenta</w:t>
      </w:r>
      <w:r>
        <w:t xml:space="preserve"> (modo layout, página 71). Su guía es </w:t>
      </w:r>
      <w:r>
        <w:rPr>
          <w:rFonts w:ascii="Consolas" w:hAnsi="Consolas"/>
          <w:color w:val="233648"/>
          <w:sz w:val="16"/>
        </w:rPr>
        <w:t>proyectos/demo/README.docx</w:t>
      </w:r>
      <w:r>
        <w:t>.</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