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Proyectos de demostración</w:t>
      </w:r>
    </w:p>
    <w:p>
      <w:pPr>
        <w:spacing w:after="360"/>
        <w:jc w:val="center"/>
      </w:pPr>
      <w:r>
        <w:rPr>
          <w:rFonts w:ascii="Aptos" w:hAnsi="Aptos"/>
          <w:color w:val="4A5563"/>
          <w:sz w:val="22"/>
        </w:rPr>
        <w:t>entidades (modo simple, página 70) y estado_cuenta (modo layout, página 71)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83848"/>
          </w:tcPr>
          <w:p/>
        </w:tc>
      </w:tr>
    </w:tbl>
    <w:p/>
    <w:p>
      <w:r>
        <w:t xml:space="preserve">La carpeta </w:t>
      </w:r>
      <w:r>
        <w:rPr>
          <w:rFonts w:ascii="Consolas" w:hAnsi="Consolas"/>
          <w:color w:val="233648"/>
          <w:sz w:val="16"/>
        </w:rPr>
        <w:t>proyectos/demo/</w:t>
      </w:r>
      <w:r>
        <w:t xml:space="preserve"> contiene dos proyectos completos que el compilador puede validar y compilar sin mover archivos, uno por cada modo. Siguen la misma organización que tendrá cualquier reporte nuevo y usan tablas de prueba con el prefijo </w:t>
      </w:r>
      <w:r>
        <w:rPr>
          <w:rFonts w:ascii="Consolas" w:hAnsi="Consolas"/>
          <w:color w:val="233648"/>
          <w:sz w:val="16"/>
        </w:rPr>
        <w:t>pruebap_</w:t>
      </w:r>
      <w:r>
        <w:t>. Son los únicos proyectos que incluyen esta documentación.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entidades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estado_cuenta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Modo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Simple (APEX_DATA_EXPORT)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Layout (motor PDF en PL/SQL)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Página APEX de prueba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70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71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Qué demuestra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Una tabla con filtros tipados, LOV, anchos, PDF y Excel, formato y orientación elegidos por el usuario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Cabecera en cuadrícula con bordes visibles, blancos y sin borde, cuatro tablas de datos con totales, recuadro de resumen y «X DE Y»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Consultas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Una (entidades.sql)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Seis (q_alumno.sql, q_caja.sql…)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Salida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PDF y XLSX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PDF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proyectos/demo/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README.docx                    &lt;- esta documentación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entidades/                     &lt;- demo del modo simple (página 70)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entidades.docx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apex_process.sql             &lt;- se pega en el proceso de la página 70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datos_prueba.sql             &lt;- tablas PRUEBAP_ de esta demo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generado/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entidades.sql, entidades.report.json, template.json, validation.json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estado_cuenta/                 &lt;- demo del modo layout (página 71)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estado_cuenta.docx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apex_process.sql             &lt;- se pega en el proceso de la página 71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rpt_estado_cuenta.sql        &lt;- package de este reporte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datos_prueba.sql             &lt;- tablas PRUEBAP_ALUMNO* (datos ficticios)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ejemplo_estado_cuenta.pdf    &lt;- resultado esperado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generado/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q_*.sql (una por consulta), estado_cuenta.report.json, layout.json, validation.json</w:t>
            </w:r>
          </w:p>
        </w:tc>
      </w:tr>
    </w:tbl>
    <w:p>
      <w:r>
        <w:t xml:space="preserve">Los motores comunes no están aquí: viven en </w:t>
      </w:r>
      <w:r>
        <w:rPr>
          <w:rFonts w:ascii="Consolas" w:hAnsi="Consolas"/>
          <w:color w:val="233648"/>
          <w:sz w:val="16"/>
        </w:rPr>
        <w:t>sql/modo_simple/</w:t>
      </w:r>
      <w:r>
        <w:t xml:space="preserve"> y </w:t>
      </w:r>
      <w:r>
        <w:rPr>
          <w:rFonts w:ascii="Consolas" w:hAnsi="Consolas"/>
          <w:color w:val="233648"/>
          <w:sz w:val="16"/>
        </w:rPr>
        <w:t>sql/modo_layout/</w:t>
      </w:r>
      <w:r>
        <w:t xml:space="preserve"> y se instalan una sola vez por esquema (ver </w:t>
      </w:r>
      <w:r>
        <w:rPr>
          <w:rFonts w:ascii="Consolas" w:hAnsi="Consolas"/>
          <w:color w:val="233648"/>
          <w:sz w:val="16"/>
        </w:rPr>
        <w:t>sql/README.docx</w:t>
      </w:r>
      <w:r>
        <w:t>).</w:t>
      </w:r>
    </w:p>
    <w:p>
      <w:pPr>
        <w:pStyle w:val="Heading1"/>
        <w:keepNext/>
      </w:pPr>
      <w:r>
        <w:t>Preparar la base de datos</w:t>
      </w:r>
    </w:p>
    <w:p>
      <w:r>
        <w:t xml:space="preserve">Conectado como el </w:t>
      </w:r>
      <w:r>
        <w:rPr>
          <w:i/>
        </w:rPr>
        <w:t>parsing schema</w:t>
      </w:r>
      <w:r>
        <w:t xml:space="preserve"> (SQL Workshop &gt; SQL Scripts, Upload y Run):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Para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sql/modo_simple/pkg_corporate_reports.sql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Demo entidades (y todo reporte simple)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proyectos/demo/entidades/datos_prueba.sql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Demo entidades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sql/modo_layout/rpt_pdf.pks, rpt_pdf.pkb, rpt_layout.pks, rpt_layout.pkb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Demo estado_cuenta (y todo reporte layout)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proyectos/demo/estado_cuenta/datos_prueba.sql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Demo estado_cuenta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proyectos/demo/estado_cuenta/rpt_estado_cuenta.sql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Demo estado_cuenta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233648"/>
          <w:sz w:val="16"/>
        </w:rPr>
        <w:t>estado_cuenta/datos_prueba.sql</w:t>
      </w:r>
      <w:r>
        <w:t xml:space="preserve"> es idempotente: crea las tablas solo si no existen y nunca borra datos. </w:t>
      </w:r>
      <w:r>
        <w:rPr>
          <w:rFonts w:ascii="Consolas" w:hAnsi="Consolas"/>
          <w:color w:val="233648"/>
          <w:sz w:val="16"/>
        </w:rPr>
        <w:t>entidades/datos_prueba.sql</w:t>
      </w:r>
      <w:r>
        <w:t xml:space="preserve"> usa </w:t>
      </w:r>
      <w:r>
        <w:rPr>
          <w:rFonts w:ascii="Consolas" w:hAnsi="Consolas"/>
          <w:color w:val="233648"/>
          <w:sz w:val="16"/>
        </w:rPr>
        <w:t>CREATE TABLE</w:t>
      </w:r>
      <w:r>
        <w:t xml:space="preserve"> directo: ejecútelo una sola vez.</w:t>
      </w:r>
    </w:p>
    <w:p>
      <w:pPr>
        <w:pStyle w:val="Heading1"/>
        <w:keepNext/>
      </w:pPr>
      <w:r>
        <w:t>Demo 1: entidades (modo simple, página 70)</w:t>
      </w:r>
    </w:p>
    <w:p>
      <w:pPr>
        <w:pStyle w:val="Heading2"/>
        <w:keepNext/>
      </w:pPr>
      <w:r>
        <w:t>Archivos</w:t>
      </w:r>
    </w:p>
    <w:p>
      <w:r>
        <w:rPr>
          <w:rFonts w:ascii="Consolas" w:hAnsi="Consolas"/>
          <w:color w:val="233648"/>
          <w:sz w:val="16"/>
        </w:rPr>
        <w:t>entidades.sql</w:t>
      </w:r>
      <w:r>
        <w:t xml:space="preserve"> no se sube a APEX como archivo: al compilar, su consulta se copia dentro de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 (</w:t>
      </w:r>
      <w:r>
        <w:rPr>
          <w:rFonts w:ascii="Consolas" w:hAnsi="Consolas"/>
          <w:color w:val="233648"/>
          <w:sz w:val="16"/>
        </w:rPr>
        <w:t>l_sql clob := to_clob(q'~select …~')</w:t>
      </w:r>
      <w:r>
        <w:t xml:space="preserve">). Por eso vive en </w:t>
      </w:r>
      <w:r>
        <w:rPr>
          <w:rFonts w:ascii="Consolas" w:hAnsi="Consolas"/>
          <w:color w:val="233648"/>
          <w:sz w:val="16"/>
        </w:rPr>
        <w:t>generado/</w:t>
      </w:r>
      <w:r>
        <w:t xml:space="preserve"> junto con el resto del material de trabajo.</w:t>
      </w:r>
    </w:p>
    <w:p>
      <w:r>
        <w:t xml:space="preserve">El DOCX se utiliza solamente durante la compilación local. En APEX se instala el paquete una vez y se pega el bloque </w:t>
      </w:r>
      <w:r>
        <w:rPr>
          <w:rFonts w:ascii="Consolas" w:hAnsi="Consolas"/>
          <w:color w:val="233648"/>
          <w:sz w:val="16"/>
        </w:rPr>
        <w:t>apex_process.sql</w:t>
      </w:r>
      <w:r>
        <w:t>. Las tablas del SQL (</w:t>
      </w:r>
      <w:r>
        <w:rPr>
          <w:rFonts w:ascii="Consolas" w:hAnsi="Consolas"/>
          <w:color w:val="233648"/>
          <w:sz w:val="16"/>
        </w:rPr>
        <w:t>pruebap_entidad</w:t>
      </w:r>
      <w:r>
        <w:t xml:space="preserve">, </w:t>
      </w:r>
      <w:r>
        <w:rPr>
          <w:rFonts w:ascii="Consolas" w:hAnsi="Consolas"/>
          <w:color w:val="233648"/>
          <w:sz w:val="16"/>
        </w:rPr>
        <w:t>pruebap_departamento</w:t>
      </w:r>
      <w:r>
        <w:t xml:space="preserve">, </w:t>
      </w:r>
      <w:r>
        <w:rPr>
          <w:rFonts w:ascii="Consolas" w:hAnsi="Consolas"/>
          <w:color w:val="233648"/>
          <w:sz w:val="16"/>
        </w:rPr>
        <w:t>pruebap_distrito</w:t>
      </w:r>
      <w:r>
        <w:t xml:space="preserve">) son tablas de prueba: créelas con </w:t>
      </w:r>
      <w:r>
        <w:rPr>
          <w:rFonts w:ascii="Consolas" w:hAnsi="Consolas"/>
          <w:color w:val="233648"/>
          <w:sz w:val="16"/>
        </w:rPr>
        <w:t>datos_prueba.sql</w:t>
      </w:r>
      <w:r>
        <w:t xml:space="preserve"> o adapte el SQL a objetos reales y recompile.</w:t>
      </w:r>
    </w:p>
    <w:p>
      <w:pPr>
        <w:pStyle w:val="Heading2"/>
        <w:keepNext/>
      </w:pPr>
      <w:r>
        <w:t>Tablas de prueba</w:t>
      </w:r>
    </w:p>
    <w:p>
      <w:r>
        <w:t xml:space="preserve">El script es </w:t>
      </w:r>
      <w:r>
        <w:rPr>
          <w:rFonts w:ascii="Consolas" w:hAnsi="Consolas"/>
          <w:color w:val="233648"/>
          <w:sz w:val="16"/>
        </w:rPr>
        <w:t>entidades/datos_prueba.sql</w:t>
      </w:r>
      <w:r>
        <w:t xml:space="preserve">. Los tipos coinciden con los binds: </w:t>
      </w:r>
      <w:r>
        <w:rPr>
          <w:rFonts w:ascii="Consolas" w:hAnsi="Consolas"/>
          <w:color w:val="233648"/>
          <w:sz w:val="16"/>
        </w:rPr>
        <w:t>vdni</w:t>
      </w:r>
      <w:r>
        <w:t xml:space="preserve"> es texto, </w:t>
      </w:r>
      <w:r>
        <w:rPr>
          <w:rFonts w:ascii="Consolas" w:hAnsi="Consolas"/>
          <w:color w:val="233648"/>
          <w:sz w:val="16"/>
        </w:rPr>
        <w:t>departamento_id</w:t>
      </w:r>
      <w:r>
        <w:t xml:space="preserve"> es número y </w:t>
      </w:r>
      <w:r>
        <w:rPr>
          <w:rFonts w:ascii="Consolas" w:hAnsi="Consolas"/>
          <w:color w:val="233648"/>
          <w:sz w:val="16"/>
        </w:rPr>
        <w:t>fecha_registro</w:t>
      </w:r>
      <w:r>
        <w:t xml:space="preserve"> es fecha.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create table pruebap_departamento (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id          number primary key,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descripcion varchar2(100) not null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create table pruebap_distrito (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id          number primary key,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descripcion varchar2(100) not null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create table pruebap_entidad (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vdni            varchar2(8) primary key,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vnom            varchar2(200) not null,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vdirec_actual   varchar2(300),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departamento_id number references pruebap_departamento(id),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distrito_id     number references pruebap_distrito(id),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vnro_tlf1       varchar2(20),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fecha_registro  date default sysdate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pruebap_departamento values (1, 'Lima');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pruebap_departamento values (2, 'Arequipa');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pruebap_departamento values (3, 'Cusco');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pruebap_distrito values (1, 'Miraflores');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pruebap_distrito values (2, 'Cayma');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pruebap_distrito values (3, 'Wanchaq');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pruebap_entidad values ('12345678', 'Ana Torres Ríos', 'Av. Larco 123', 1, 1, '987654321', date '2025-01-15');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pruebap_entidad values ('23456789', 'Luis Pérez Soto', 'Calle Mercaderes 45', 2, 2, '976543210', date '2025-06-01');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pruebap_entidad values ('34567890', 'María Quispe Huamán', 'Av. de la Cultura 800', 3, 3, null, date '2026-02-10');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-- dirección larga para la columna AUTO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pruebap_entidad values ('45678901', 'Carlos Ñique', rpad('Jr. Muy Largo ', 250, 'x'), 1, null, '014445555', date '2026-09-01');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-- 2500 filas para probar un volumen grande (se exportan todas)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insert into pruebap_entidad (vdni, vnom, vdirec_actual, departamento_id, distrito_id, vnro_tlf1, fecha_registro)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select lpad(to_char(50000000 + level), 8, '0'), 'Persona ' || level, 'Dirección ' || level,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mod(level, 3) + 1, mod(level, 3) + 1, '9' || lpad(level, 8, '0'),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     date '2024-01-01' + mod(level, 900)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from dual connect by level &lt;= 2500;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commit;</w:t>
            </w:r>
          </w:p>
        </w:tc>
      </w:tr>
    </w:tbl>
    <w:p>
      <w:pPr>
        <w:pStyle w:val="Heading2"/>
        <w:keepNext/>
      </w:pPr>
      <w:r>
        <w:t>Contrato de la plantilla</w:t>
      </w:r>
    </w:p>
    <w:p>
      <w:r>
        <w:t>El párrafo de título contiene el título integrado y un campo escalar, separados por un salto de línea manual (Mayús+Intro) dentro del mismo párrafo: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{{REPORT_TITLE}}            &lt;- se reemplaza por "title": "Relación de entidades"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Unidad: {{FIELD:UNIDAD}}    &lt;- se reemplaza por el campo UNIDAD de "fields"</w:t>
            </w:r>
          </w:p>
        </w:tc>
      </w:tr>
    </w:tbl>
    <w:p>
      <w:r>
        <w:t>El pie de página incluye los valores integrados: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Usuario: {{APP_USER}} | Fecha: {{GENERATED_AT}}   &lt;- usuario APEX y fecha DD/MM/YYYY HH24:MI</w:t>
            </w:r>
          </w:p>
        </w:tc>
      </w:tr>
    </w:tbl>
    <w:p>
      <w:r>
        <w:t xml:space="preserve">La tabla contiene una fila de etiquetas y otra de marcadores. Los seis aliases coinciden con el </w:t>
      </w:r>
      <w:r>
        <w:rPr>
          <w:rFonts w:ascii="Consolas" w:hAnsi="Consolas"/>
          <w:color w:val="233648"/>
          <w:sz w:val="16"/>
        </w:rPr>
        <w:t>SELECT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Encabezado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Marcador Word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Alias SQL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{{COLUMN:VDNI}}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VDNI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Nombre completo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{{COLUMN:VNOM}}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VNOM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Dirección actual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{{COLUMN:VDIREC_ACTUAL}}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VDIREC_ACTUAL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{{COLUMN:DEPARTAMENTO}}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Distrito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{{COLUMN:DISTRITO}}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DISTRITO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Teléfono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{{COLUMN:VNRO_TLF1}}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VNRO_TLF1</w:t>
            </w:r>
          </w:p>
        </w:tc>
      </w:tr>
    </w:tbl>
    <w:p>
      <w:pPr>
        <w:spacing w:after="20"/>
      </w:pPr>
    </w:p>
    <w:p>
      <w:r>
        <w:t xml:space="preserve">El campo </w:t>
      </w:r>
      <w:r>
        <w:rPr>
          <w:rFonts w:ascii="Consolas" w:hAnsi="Consolas"/>
          <w:color w:val="233648"/>
          <w:sz w:val="16"/>
        </w:rPr>
        <w:t>{{FIELD:UNIDAD}}</w:t>
      </w:r>
      <w:r>
        <w:t xml:space="preserve"> se declara en </w:t>
      </w:r>
      <w:r>
        <w:rPr>
          <w:rFonts w:ascii="Consolas" w:hAnsi="Consolas"/>
          <w:color w:val="233648"/>
          <w:sz w:val="16"/>
        </w:rPr>
        <w:t>fields</w:t>
      </w:r>
      <w:r>
        <w:t xml:space="preserve"> como constante: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"fields": [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{"name": "UNIDAD", "source": "CONSTANT", "value": "Oficina de Informática"}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]</w:t>
            </w:r>
          </w:p>
        </w:tc>
      </w:tr>
    </w:tbl>
    <w:p>
      <w:r>
        <w:t xml:space="preserve">Para que el valor provenga de la página en lugar de una constante, cámbielo a </w:t>
      </w:r>
      <w:r>
        <w:rPr>
          <w:rFonts w:ascii="Consolas" w:hAnsi="Consolas"/>
          <w:color w:val="233648"/>
          <w:sz w:val="16"/>
        </w:rPr>
        <w:t>{"name": "UNIDAD", "source": "ITEM", "item": "P70_UNIDAD", "type": "VARCHAR2"}</w:t>
      </w:r>
      <w:r>
        <w:t xml:space="preserve"> y cree ese Page Item.</w:t>
      </w:r>
    </w:p>
    <w:p>
      <w:pPr>
        <w:pStyle w:val="Heading2"/>
        <w:keepNext/>
      </w:pPr>
      <w:r>
        <w:t>Binds lógicos y Page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Bind 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Page Item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:DNI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P70_DNI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VARCHAR2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:DEPARTAMENTO_ID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P70_DEPARTAMENTO_ID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NUMBER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:FECHA_DESDE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P70_FECHA_DESDE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DATE, máscara DD/MM/YYYY</w:t>
            </w:r>
          </w:p>
        </w:tc>
      </w:tr>
    </w:tbl>
    <w:p>
      <w:pPr>
        <w:spacing w:after="20"/>
      </w:pPr>
    </w:p>
    <w:p>
      <w:r>
        <w:t xml:space="preserve">Cada entrada de </w:t>
      </w:r>
      <w:r>
        <w:rPr>
          <w:rFonts w:ascii="Consolas" w:hAnsi="Consolas"/>
          <w:color w:val="233648"/>
          <w:sz w:val="16"/>
        </w:rPr>
        <w:t>bindings</w:t>
      </w:r>
      <w:r>
        <w:t xml:space="preserve"> relaciona un </w:t>
      </w:r>
      <w:r>
        <w:rPr>
          <w:rFonts w:ascii="Consolas" w:hAnsi="Consolas"/>
          <w:color w:val="233648"/>
          <w:sz w:val="16"/>
        </w:rPr>
        <w:t>:BIND</w:t>
      </w:r>
      <w:r>
        <w:t xml:space="preserve"> del SQL con un Page Item mediante las claves </w:t>
      </w:r>
      <w:r>
        <w:rPr>
          <w:rFonts w:ascii="Consolas" w:hAnsi="Consolas"/>
          <w:color w:val="233648"/>
          <w:sz w:val="16"/>
        </w:rPr>
        <w:t>bind</w:t>
      </w:r>
      <w:r>
        <w:t xml:space="preserve"> e </w:t>
      </w:r>
      <w:r>
        <w:rPr>
          <w:rFonts w:ascii="Consolas" w:hAnsi="Consolas"/>
          <w:color w:val="233648"/>
          <w:sz w:val="16"/>
        </w:rPr>
        <w:t>item</w:t>
      </w:r>
      <w:r>
        <w:t xml:space="preserve">. El proceso generado no concatena estos valores en el SQL: </w:t>
      </w:r>
      <w:r>
        <w:rPr>
          <w:rFonts w:ascii="Consolas" w:hAnsi="Consolas"/>
          <w:color w:val="233648"/>
          <w:sz w:val="16"/>
        </w:rPr>
        <w:t>PKG_CORPORATE_REPORTS</w:t>
      </w:r>
      <w:r>
        <w:t xml:space="preserve"> los obtiene del estado de sesión y los añade como parámetros tipados de </w:t>
      </w:r>
      <w:r>
        <w:rPr>
          <w:rFonts w:ascii="Consolas" w:hAnsi="Consolas"/>
          <w:color w:val="233648"/>
          <w:sz w:val="16"/>
        </w:rPr>
        <w:t>APEX_EXEC</w:t>
      </w:r>
      <w:r>
        <w:t>.</w:t>
      </w:r>
    </w:p>
    <w:p>
      <w:r>
        <w:t xml:space="preserve">Antes de la descarga, los tres Page Items deben estar en el estado de sesión. El botón de descarga usa </w:t>
      </w:r>
      <w:r>
        <w:rPr>
          <w:i/>
        </w:rPr>
        <w:t>Submit Page</w:t>
      </w:r>
      <w:r>
        <w:t>, que los envía automáticamente; no use una Dynamic Action Ajax para descargar.</w:t>
      </w:r>
    </w:p>
    <w:p>
      <w:r>
        <w:t xml:space="preserve">El proyecto declara además </w:t>
      </w:r>
      <w:r>
        <w:rPr>
          <w:rFonts w:ascii="Consolas" w:hAnsi="Consolas"/>
          <w:color w:val="233648"/>
          <w:sz w:val="16"/>
        </w:rPr>
        <w:t>P0_REPORT_FORMAT</w:t>
      </w:r>
      <w:r>
        <w:t xml:space="preserve"> y </w:t>
      </w:r>
      <w:r>
        <w:rPr>
          <w:rFonts w:ascii="Consolas" w:hAnsi="Consolas"/>
          <w:color w:val="233648"/>
          <w:sz w:val="16"/>
        </w:rPr>
        <w:t>P0_REPORT_ORIENTATION</w:t>
      </w:r>
      <w:r>
        <w:t xml:space="preserve"> en la página global (página 0), con valores de retorno </w:t>
      </w:r>
      <w:r>
        <w:rPr>
          <w:rFonts w:ascii="Consolas" w:hAnsi="Consolas"/>
          <w:color w:val="233648"/>
          <w:sz w:val="16"/>
        </w:rPr>
        <w:t>PDF</w:t>
      </w:r>
      <w:r>
        <w:t>/</w:t>
      </w:r>
      <w:r>
        <w:rPr>
          <w:rFonts w:ascii="Consolas" w:hAnsi="Consolas"/>
          <w:color w:val="233648"/>
          <w:sz w:val="16"/>
        </w:rPr>
        <w:t>XLSX</w:t>
      </w:r>
      <w:r>
        <w:t xml:space="preserve"> y </w:t>
      </w:r>
      <w:r>
        <w:rPr>
          <w:rFonts w:ascii="Consolas" w:hAnsi="Consolas"/>
          <w:color w:val="233648"/>
          <w:sz w:val="16"/>
        </w:rPr>
        <w:t>AUTO</w:t>
      </w:r>
      <w:r>
        <w:t>/</w:t>
      </w:r>
      <w:r>
        <w:rPr>
          <w:rFonts w:ascii="Consolas" w:hAnsi="Consolas"/>
          <w:color w:val="233648"/>
          <w:sz w:val="16"/>
        </w:rPr>
        <w:t>PORTRAIT</w:t>
      </w:r>
      <w:r>
        <w:t>/</w:t>
      </w:r>
      <w:r>
        <w:rPr>
          <w:rFonts w:ascii="Consolas" w:hAnsi="Consolas"/>
          <w:color w:val="233648"/>
          <w:sz w:val="16"/>
        </w:rPr>
        <w:t>LANDSCAPE</w:t>
      </w:r>
      <w:r>
        <w:t xml:space="preserve">. Si no desea que el usuario elija, elimine </w:t>
      </w:r>
      <w:r>
        <w:rPr>
          <w:rFonts w:ascii="Consolas" w:hAnsi="Consolas"/>
          <w:color w:val="233648"/>
          <w:sz w:val="16"/>
        </w:rPr>
        <w:t>format_item</w:t>
      </w:r>
      <w:r>
        <w:t xml:space="preserve"> y </w:t>
      </w:r>
      <w:r>
        <w:rPr>
          <w:rFonts w:ascii="Consolas" w:hAnsi="Consolas"/>
          <w:color w:val="233648"/>
          <w:sz w:val="16"/>
        </w:rPr>
        <w:t>orientation_item</w:t>
      </w:r>
      <w:r>
        <w:t xml:space="preserve"> del proyecto y recompile. El XLSX lleva solo la fila de títulos y los datos, sin encabezado ni pie.</w:t>
      </w:r>
    </w:p>
    <w:p>
      <w:pPr>
        <w:pStyle w:val="Heading2"/>
        <w:keepNext/>
      </w:pPr>
      <w:r>
        <w:t>LOV: imprimir display, no return</w:t>
      </w:r>
    </w:p>
    <w:p>
      <w:r>
        <w:rPr>
          <w:rFonts w:ascii="Consolas" w:hAnsi="Consolas"/>
          <w:color w:val="233648"/>
          <w:sz w:val="16"/>
        </w:rPr>
        <w:t>P70_DEPARTAMENTO_ID</w:t>
      </w:r>
      <w:r>
        <w:t xml:space="preserve"> puede almacenar el identificador numérico del LOV. Ese valor sirve solo como filtro. El reporte imprime </w:t>
      </w:r>
      <w:r>
        <w:rPr>
          <w:rFonts w:ascii="Consolas" w:hAnsi="Consolas"/>
          <w:color w:val="233648"/>
          <w:sz w:val="16"/>
        </w:rPr>
        <w:t>d.descripcion AS departamento</w:t>
      </w:r>
      <w:r>
        <w:t>, por lo que el PDF recibe el texto visible y no el ID.</w:t>
      </w:r>
    </w:p>
    <w:p>
      <w:r>
        <w:t xml:space="preserve">La misma regla debe aplicarse a cualquier otro LOV: la consulta del reporte debe hacer el </w:t>
      </w:r>
      <w:r>
        <w:rPr>
          <w:rFonts w:ascii="Consolas" w:hAnsi="Consolas"/>
          <w:color w:val="233648"/>
          <w:sz w:val="16"/>
        </w:rPr>
        <w:t>JOIN</w:t>
      </w:r>
      <w:r>
        <w:t xml:space="preserve"> correspondiente y seleccionar el display con el alias declarado en Word.</w:t>
      </w:r>
    </w:p>
    <w:p>
      <w:pPr>
        <w:pStyle w:val="Heading2"/>
        <w:keepNext/>
      </w:pPr>
      <w:r>
        <w:t>Anchos y exclusiones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VDNI</w:t>
      </w:r>
      <w:r>
        <w:t xml:space="preserve"> y </w:t>
      </w:r>
      <w:r>
        <w:rPr>
          <w:rFonts w:ascii="Consolas" w:hAnsi="Consolas"/>
          <w:color w:val="233648"/>
          <w:sz w:val="16"/>
        </w:rPr>
        <w:t>VNRO_TLF1</w:t>
      </w:r>
      <w:r>
        <w:t xml:space="preserve"> usan </w:t>
      </w:r>
      <w:r>
        <w:rPr>
          <w:rFonts w:ascii="Consolas" w:hAnsi="Consolas"/>
          <w:color w:val="233648"/>
          <w:sz w:val="16"/>
        </w:rPr>
        <w:t>FIXED_PERCENT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VNOM</w:t>
      </w:r>
      <w:r>
        <w:t xml:space="preserve">, </w:t>
      </w:r>
      <w:r>
        <w:rPr>
          <w:rFonts w:ascii="Consolas" w:hAnsi="Consolas"/>
          <w:color w:val="233648"/>
          <w:sz w:val="16"/>
        </w:rPr>
        <w:t>DEPARTAMENTO</w:t>
      </w:r>
      <w:r>
        <w:t xml:space="preserve"> y </w:t>
      </w:r>
      <w:r>
        <w:rPr>
          <w:rFonts w:ascii="Consolas" w:hAnsi="Consolas"/>
          <w:color w:val="233648"/>
          <w:sz w:val="16"/>
        </w:rPr>
        <w:t>DISTRITO</w:t>
      </w:r>
      <w:r>
        <w:t xml:space="preserve"> distribuyen el espacio restante mediante </w:t>
      </w:r>
      <w:r>
        <w:rPr>
          <w:rFonts w:ascii="Consolas" w:hAnsi="Consolas"/>
          <w:color w:val="233648"/>
          <w:sz w:val="16"/>
        </w:rPr>
        <w:t>WEIGHT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VDIREC_ACTUAL</w:t>
      </w:r>
      <w:r>
        <w:t xml:space="preserve"> usa </w:t>
      </w:r>
      <w:r>
        <w:rPr>
          <w:rFonts w:ascii="Consolas" w:hAnsi="Consolas"/>
          <w:color w:val="233648"/>
          <w:sz w:val="16"/>
        </w:rPr>
        <w:t>AUTO</w:t>
      </w:r>
      <w:r>
        <w:t>; solo puede existir una columna con ese modo.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excluded_columns</w:t>
      </w:r>
      <w:r>
        <w:t xml:space="preserve"> está presente y vacío. Para una exclusión institucional se agrega allí uno de los seis aliases.</w:t>
      </w:r>
    </w:p>
    <w:p>
      <w:r>
        <w:t xml:space="preserve">Los estilos avanzados están en </w:t>
      </w:r>
      <w:r>
        <w:rPr>
          <w:rFonts w:ascii="Consolas" w:hAnsi="Consolas"/>
          <w:color w:val="233648"/>
          <w:sz w:val="16"/>
        </w:rPr>
        <w:t>style_overrides</w:t>
      </w:r>
      <w:r>
        <w:t xml:space="preserve">, con las zonas </w:t>
      </w:r>
      <w:r>
        <w:rPr>
          <w:rFonts w:ascii="Consolas" w:hAnsi="Consolas"/>
          <w:color w:val="233648"/>
          <w:sz w:val="16"/>
        </w:rPr>
        <w:t>title</w:t>
      </w:r>
      <w:r>
        <w:t xml:space="preserve">, </w:t>
      </w:r>
      <w:r>
        <w:rPr>
          <w:rFonts w:ascii="Consolas" w:hAnsi="Consolas"/>
          <w:color w:val="233648"/>
          <w:sz w:val="16"/>
        </w:rPr>
        <w:t>table_header</w:t>
      </w:r>
      <w:r>
        <w:t xml:space="preserve">, </w:t>
      </w:r>
      <w:r>
        <w:rPr>
          <w:rFonts w:ascii="Consolas" w:hAnsi="Consolas"/>
          <w:color w:val="233648"/>
          <w:sz w:val="16"/>
        </w:rPr>
        <w:t>table_body</w:t>
      </w:r>
      <w:r>
        <w:t xml:space="preserve">, </w:t>
      </w:r>
      <w:r>
        <w:rPr>
          <w:rFonts w:ascii="Consolas" w:hAnsi="Consolas"/>
          <w:color w:val="233648"/>
          <w:sz w:val="16"/>
        </w:rPr>
        <w:t>border</w:t>
      </w:r>
      <w:r>
        <w:t xml:space="preserve"> y </w:t>
      </w:r>
      <w:r>
        <w:rPr>
          <w:rFonts w:ascii="Consolas" w:hAnsi="Consolas"/>
          <w:color w:val="233648"/>
          <w:sz w:val="16"/>
        </w:rPr>
        <w:t>footer</w:t>
      </w:r>
      <w:r>
        <w:t>. Sus valores prevalecen sobre los que el compilador extrae automáticamente del DOCX; en este ejemplo coinciden con la plantilla y sirven como muestra para editarlos directamente.</w:t>
      </w:r>
    </w:p>
    <w:p>
      <w:pPr>
        <w:pStyle w:val="Heading2"/>
        <w:keepNext/>
      </w:pPr>
      <w:r>
        <w:t>Página 70 en APEX</w:t>
      </w:r>
    </w:p>
    <w:p>
      <w:pPr>
        <w:spacing w:after="60"/>
        <w:ind w:left="369" w:hanging="255"/>
      </w:pPr>
      <w:r>
        <w:t xml:space="preserve">1. </w:t>
      </w:r>
      <w:r>
        <w:t xml:space="preserve">Page Items </w:t>
      </w:r>
      <w:r>
        <w:rPr>
          <w:rFonts w:ascii="Consolas" w:hAnsi="Consolas"/>
          <w:color w:val="233648"/>
          <w:sz w:val="16"/>
        </w:rPr>
        <w:t>P70_DNI</w:t>
      </w:r>
      <w:r>
        <w:t xml:space="preserve"> (Text Field), </w:t>
      </w:r>
      <w:r>
        <w:rPr>
          <w:rFonts w:ascii="Consolas" w:hAnsi="Consolas"/>
          <w:color w:val="233648"/>
          <w:sz w:val="16"/>
        </w:rPr>
        <w:t>P70_DEPARTAMENTO_ID</w:t>
      </w:r>
      <w:r>
        <w:t xml:space="preserve"> (Select List con LOV de </w:t>
      </w:r>
      <w:r>
        <w:rPr>
          <w:rFonts w:ascii="Consolas" w:hAnsi="Consolas"/>
          <w:color w:val="233648"/>
          <w:sz w:val="16"/>
        </w:rPr>
        <w:t>pruebap_departamento</w:t>
      </w:r>
      <w:r>
        <w:t xml:space="preserve">, return = id) y </w:t>
      </w:r>
      <w:r>
        <w:rPr>
          <w:rFonts w:ascii="Consolas" w:hAnsi="Consolas"/>
          <w:color w:val="233648"/>
          <w:sz w:val="16"/>
        </w:rPr>
        <w:t>P70_FECHA_DESDE</w:t>
      </w:r>
      <w:r>
        <w:t xml:space="preserve"> (Date Picker, máscara DD/MM/YYYY).</w:t>
      </w:r>
    </w:p>
    <w:p>
      <w:pPr>
        <w:spacing w:after="60"/>
        <w:ind w:left="369" w:hanging="255"/>
      </w:pPr>
      <w:r>
        <w:t xml:space="preserve">2. </w:t>
      </w:r>
      <w:r>
        <w:t xml:space="preserve">En la página 0: </w:t>
      </w:r>
      <w:r>
        <w:rPr>
          <w:rFonts w:ascii="Consolas" w:hAnsi="Consolas"/>
          <w:color w:val="233648"/>
          <w:sz w:val="16"/>
        </w:rPr>
        <w:t>P0_REPORT_FORMAT</w:t>
      </w:r>
      <w:r>
        <w:t xml:space="preserve"> (PDF/XLSX) y </w:t>
      </w:r>
      <w:r>
        <w:rPr>
          <w:rFonts w:ascii="Consolas" w:hAnsi="Consolas"/>
          <w:color w:val="233648"/>
          <w:sz w:val="16"/>
        </w:rPr>
        <w:t>P0_REPORT_ORIENTATION</w:t>
      </w:r>
      <w:r>
        <w:t xml:space="preserve"> (AUTO/PORTRAIT/LANDSCAPE).</w:t>
      </w:r>
    </w:p>
    <w:p>
      <w:pPr>
        <w:spacing w:after="60"/>
        <w:ind w:left="369" w:hanging="255"/>
      </w:pPr>
      <w:r>
        <w:t xml:space="preserve">3. </w:t>
      </w:r>
      <w:r>
        <w:t xml:space="preserve">Botón con </w:t>
      </w:r>
      <w:r>
        <w:rPr>
          <w:i/>
        </w:rPr>
        <w:t>Action: Submit Page</w:t>
      </w:r>
      <w:r>
        <w:t xml:space="preserve">; en la página, </w:t>
      </w:r>
      <w:r>
        <w:rPr>
          <w:i/>
        </w:rPr>
        <w:t>Reload on Submit: Always</w:t>
      </w:r>
      <w:r>
        <w:t>.</w:t>
      </w:r>
    </w:p>
    <w:p>
      <w:pPr>
        <w:spacing w:after="60"/>
        <w:ind w:left="369" w:hanging="255"/>
      </w:pPr>
      <w:r>
        <w:t xml:space="preserve">4. </w:t>
      </w:r>
      <w:r>
        <w:t xml:space="preserve">Proceso </w:t>
      </w:r>
      <w:r>
        <w:rPr>
          <w:i/>
        </w:rPr>
        <w:t>Execute Code</w:t>
      </w:r>
      <w:r>
        <w:t xml:space="preserve"> en </w:t>
      </w:r>
      <w:r>
        <w:rPr>
          <w:i/>
        </w:rPr>
        <w:t>Processing</w:t>
      </w:r>
      <w:r>
        <w:t xml:space="preserve"> con el contenido de </w:t>
      </w:r>
      <w:r>
        <w:rPr>
          <w:rFonts w:ascii="Consolas" w:hAnsi="Consolas"/>
          <w:color w:val="233648"/>
          <w:sz w:val="16"/>
        </w:rPr>
        <w:t>entidades/apex_process.sql</w:t>
      </w:r>
      <w:r>
        <w:t xml:space="preserve"> y </w:t>
      </w:r>
      <w:r>
        <w:rPr>
          <w:i/>
        </w:rPr>
        <w:t>When Button Pressed</w:t>
      </w:r>
      <w:r>
        <w:t xml:space="preserve"> = el botón.</w:t>
      </w:r>
    </w:p>
    <w:p>
      <w:pPr>
        <w:pStyle w:val="Heading1"/>
        <w:keepNext/>
      </w:pPr>
      <w:r>
        <w:t>Demo 2: estado_cuenta (modo layout, página 71)</w:t>
      </w:r>
    </w:p>
    <w:p>
      <w:r>
        <w:t>Estado de cuenta ficticio de un alumno de una academia de demostración, con la apariencia típica de un reporte de Oracle Reports. Todos los nombres, códigos y montos son inventados.</w:t>
      </w:r>
    </w:p>
    <w:p>
      <w:pPr>
        <w:pStyle w:val="Heading2"/>
        <w:keepNext/>
      </w:pPr>
      <w:r>
        <w:t>Tablas de prueba</w:t>
      </w:r>
    </w:p>
    <w:p>
      <w:r>
        <w:rPr>
          <w:rFonts w:ascii="Consolas" w:hAnsi="Consolas"/>
          <w:color w:val="233648"/>
          <w:sz w:val="16"/>
        </w:rPr>
        <w:t>estado_cuenta/datos_prueba.sql</w:t>
      </w:r>
      <w:r>
        <w:t xml:space="preserve"> crea </w:t>
      </w:r>
      <w:r>
        <w:rPr>
          <w:rFonts w:ascii="Consolas" w:hAnsi="Consolas"/>
          <w:color w:val="233648"/>
          <w:sz w:val="16"/>
        </w:rPr>
        <w:t>PRUEBAP_ALUMNO</w:t>
      </w:r>
      <w:r>
        <w:t xml:space="preserve">, </w:t>
      </w:r>
      <w:r>
        <w:rPr>
          <w:rFonts w:ascii="Consolas" w:hAnsi="Consolas"/>
          <w:color w:val="233648"/>
          <w:sz w:val="16"/>
        </w:rPr>
        <w:t>PRUEBAP_ALUMNO_CUOTA</w:t>
      </w:r>
      <w:r>
        <w:t xml:space="preserve">, </w:t>
      </w:r>
      <w:r>
        <w:rPr>
          <w:rFonts w:ascii="Consolas" w:hAnsi="Consolas"/>
          <w:color w:val="233648"/>
          <w:sz w:val="16"/>
        </w:rPr>
        <w:t>PRUEBAP_ALUMNO_TRANSFERENCIA</w:t>
      </w:r>
      <w:r>
        <w:t xml:space="preserve"> y </w:t>
      </w:r>
      <w:r>
        <w:rPr>
          <w:rFonts w:ascii="Consolas" w:hAnsi="Consolas"/>
          <w:color w:val="233648"/>
          <w:sz w:val="16"/>
        </w:rPr>
        <w:t>PRUEBAP_ALUMNO_ATRASO</w:t>
      </w:r>
      <w:r>
        <w:t xml:space="preserve"> con un alumno (código </w:t>
      </w:r>
      <w:r>
        <w:rPr>
          <w:rFonts w:ascii="Consolas" w:hAnsi="Consolas"/>
          <w:color w:val="233648"/>
          <w:sz w:val="16"/>
        </w:rPr>
        <w:t>A20240157</w:t>
      </w:r>
      <w:r>
        <w:t>), 48 cuotas, una transferencia y 15 meses atrasados. Es idempotente: se puede ejecutar varias veces.</w:t>
      </w:r>
    </w:p>
    <w:p>
      <w:pPr>
        <w:pStyle w:val="Heading2"/>
        <w:keepNext/>
      </w:pPr>
      <w:r>
        <w:t>Qué demuestra la plantilla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Zona del Word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Qué demuestra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Encabezado de Word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 invisible de 3 celdas y {{REPORT_TITLE}}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Tablas sin borde; se repite en cada página; constantes {{FIELD:SISTEMA}} y fechas con máscara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Cabecera del alumno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Cuadrícula de 8 columnas con banda gris combinada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{{FIELD:ALUMNO.COLUMNA}}; bordes negros, BLANCOS y sin borde; recuadros sobre un solo valor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Pagos en caja, Cuotas por pagar, Transferencias, Atrasos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Cuatro tablas de datos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{{COLUMN:...}} por registro, banda y títulos repetidos al saltar de página, totales {{SUM:...}}, columnas vacías como separación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Resumen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 centrada con borde exterior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Valores de una consulta de resumen y una raya antes del saldo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Pie de Word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Usuario y {{PAGE}} DE {{PAGES}} en casillas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Número de página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Consultas y parámetros</w:t>
      </w:r>
    </w:p>
    <w:p>
      <w:r>
        <w:t xml:space="preserve">Cada consulta es un archivo de </w:t>
      </w:r>
      <w:r>
        <w:rPr>
          <w:rFonts w:ascii="Consolas" w:hAnsi="Consolas"/>
          <w:color w:val="233648"/>
          <w:sz w:val="16"/>
        </w:rPr>
        <w:t>generado/</w:t>
      </w:r>
      <w:r>
        <w:t xml:space="preserve">, como una Query del Data Model de Oracle Reports, y todas usan el mismo parámetro </w:t>
      </w:r>
      <w:r>
        <w:rPr>
          <w:rFonts w:ascii="Consolas" w:hAnsi="Consolas"/>
          <w:color w:val="233648"/>
          <w:sz w:val="16"/>
        </w:rPr>
        <w:t>:P_COD_ALUMNO</w:t>
      </w:r>
      <w:r>
        <w:t xml:space="preserve">, enlazado al Page Item </w:t>
      </w:r>
      <w:r>
        <w:rPr>
          <w:rFonts w:ascii="Consolas" w:hAnsi="Consolas"/>
          <w:color w:val="233648"/>
          <w:sz w:val="16"/>
        </w:rPr>
        <w:t>P71_COD_ALUMNO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Consulta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Uso en el Word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ALUMNO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q_alumno.sql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Cabecera (una fila; incluye columnas de fórmula)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CAJA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q_caja.sql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 «Pagos registrados en caja»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CUOTAS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q_cuotas.sql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 «Cuotas por pagar»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TRANSFERENCIAS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q_transferencias.sql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 «Pagos por transferencia bancaria»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ATRASOS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q_atrasos.sql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Tabla «Meses con pago atrasado»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RESUMEN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q_resumen.sql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Recuadro de resumen y saldo</w:t>
            </w:r>
          </w:p>
        </w:tc>
      </w:tr>
    </w:tbl>
    <w:p>
      <w:pPr>
        <w:spacing w:after="20"/>
      </w:pPr>
    </w:p>
    <w:p>
      <w:r>
        <w:t xml:space="preserve">Las constantes </w:t>
      </w:r>
      <w:r>
        <w:rPr>
          <w:rFonts w:ascii="Consolas" w:hAnsi="Consolas"/>
          <w:color w:val="233648"/>
          <w:sz w:val="16"/>
        </w:rPr>
        <w:t>SISTEMA</w:t>
      </w:r>
      <w:r>
        <w:t xml:space="preserve">, </w:t>
      </w:r>
      <w:r>
        <w:rPr>
          <w:rFonts w:ascii="Consolas" w:hAnsi="Consolas"/>
          <w:color w:val="233648"/>
          <w:sz w:val="16"/>
        </w:rPr>
        <w:t>MODULO</w:t>
      </w:r>
      <w:r>
        <w:t xml:space="preserve"> y </w:t>
      </w:r>
      <w:r>
        <w:rPr>
          <w:rFonts w:ascii="Consolas" w:hAnsi="Consolas"/>
          <w:color w:val="233648"/>
          <w:sz w:val="16"/>
        </w:rPr>
        <w:t>CODIGO</w:t>
      </w:r>
      <w:r>
        <w:t xml:space="preserve"> del encabezado están en </w:t>
      </w:r>
      <w:r>
        <w:rPr>
          <w:rFonts w:ascii="Consolas" w:hAnsi="Consolas"/>
          <w:color w:val="233648"/>
          <w:sz w:val="16"/>
        </w:rPr>
        <w:t>constants</w:t>
      </w:r>
      <w:r>
        <w:t xml:space="preserve"> de </w:t>
      </w:r>
      <w:r>
        <w:rPr>
          <w:rFonts w:ascii="Consolas" w:hAnsi="Consolas"/>
          <w:color w:val="233648"/>
          <w:sz w:val="16"/>
        </w:rPr>
        <w:t>estado_cuenta.report.json</w:t>
      </w:r>
      <w:r>
        <w:t>.</w:t>
      </w:r>
    </w:p>
    <w:p>
      <w:pPr>
        <w:pStyle w:val="Heading2"/>
        <w:keepNext/>
      </w:pPr>
      <w:r>
        <w:t>Página 71 en APEX</w:t>
      </w:r>
    </w:p>
    <w:p>
      <w:pPr>
        <w:spacing w:after="60"/>
        <w:ind w:left="369" w:hanging="255"/>
      </w:pPr>
      <w:r>
        <w:t xml:space="preserve">1. </w:t>
      </w:r>
      <w:r>
        <w:t>Instale los objetos de la sección «Preparar la base de datos» (pasos 3 a 5).</w:t>
      </w:r>
    </w:p>
    <w:p>
      <w:pPr>
        <w:spacing w:after="60"/>
        <w:ind w:left="369" w:hanging="255"/>
      </w:pPr>
      <w:r>
        <w:t xml:space="preserve">2. </w:t>
      </w:r>
      <w:r>
        <w:rPr>
          <w:i/>
        </w:rPr>
        <w:t>Create Page &gt; Blank Page</w:t>
      </w:r>
      <w:r>
        <w:t xml:space="preserve">, número 71, con una región </w:t>
      </w:r>
      <w:r>
        <w:rPr>
          <w:i/>
        </w:rPr>
        <w:t>Static Content</w:t>
      </w:r>
      <w:r>
        <w:t>.</w:t>
      </w:r>
    </w:p>
    <w:p>
      <w:pPr>
        <w:spacing w:after="60"/>
        <w:ind w:left="369" w:hanging="255"/>
      </w:pPr>
      <w:r>
        <w:t xml:space="preserve">3. </w:t>
      </w:r>
      <w:r>
        <w:t xml:space="preserve">Page Item </w:t>
      </w:r>
      <w:r>
        <w:rPr>
          <w:rFonts w:ascii="Consolas" w:hAnsi="Consolas"/>
          <w:color w:val="233648"/>
          <w:sz w:val="16"/>
        </w:rPr>
        <w:t>P71_COD_ALUMNO</w:t>
      </w:r>
      <w:r>
        <w:t xml:space="preserve"> (Text Field, valor por defecto </w:t>
      </w:r>
      <w:r>
        <w:rPr>
          <w:rFonts w:ascii="Consolas" w:hAnsi="Consolas"/>
          <w:color w:val="233648"/>
          <w:sz w:val="16"/>
        </w:rPr>
        <w:t>A20240157</w:t>
      </w:r>
      <w:r>
        <w:t>).</w:t>
      </w:r>
    </w:p>
    <w:p>
      <w:pPr>
        <w:spacing w:after="60"/>
        <w:ind w:left="369" w:hanging="255"/>
      </w:pPr>
      <w:r>
        <w:t xml:space="preserve">4. </w:t>
      </w:r>
      <w:r>
        <w:t xml:space="preserve">Botón </w:t>
      </w:r>
      <w:r>
        <w:rPr>
          <w:rFonts w:ascii="Consolas" w:hAnsi="Consolas"/>
          <w:color w:val="233648"/>
          <w:sz w:val="16"/>
        </w:rPr>
        <w:t>DESCARGAR</w:t>
      </w:r>
      <w:r>
        <w:t xml:space="preserve"> con </w:t>
      </w:r>
      <w:r>
        <w:rPr>
          <w:i/>
        </w:rPr>
        <w:t>Action: Submit Page</w:t>
      </w:r>
      <w:r>
        <w:t xml:space="preserve">; en la página, </w:t>
      </w:r>
      <w:r>
        <w:rPr>
          <w:i/>
        </w:rPr>
        <w:t>Reload on Submit: Always</w:t>
      </w:r>
      <w:r>
        <w:t>.</w:t>
      </w:r>
    </w:p>
    <w:p>
      <w:pPr>
        <w:spacing w:after="60"/>
        <w:ind w:left="369" w:hanging="255"/>
      </w:pPr>
      <w:r>
        <w:t xml:space="preserve">5. </w:t>
      </w:r>
      <w:r>
        <w:t xml:space="preserve">Proceso </w:t>
      </w:r>
      <w:r>
        <w:rPr>
          <w:i/>
        </w:rPr>
        <w:t>Execute Code</w:t>
      </w:r>
      <w:r>
        <w:t xml:space="preserve"> en </w:t>
      </w:r>
      <w:r>
        <w:rPr>
          <w:i/>
        </w:rPr>
        <w:t>Processing</w:t>
      </w:r>
      <w:r>
        <w:t xml:space="preserve"> con el contenido de </w:t>
      </w:r>
      <w:r>
        <w:rPr>
          <w:rFonts w:ascii="Consolas" w:hAnsi="Consolas"/>
          <w:color w:val="233648"/>
          <w:sz w:val="16"/>
        </w:rPr>
        <w:t>estado_cuenta/apex_process.sql</w:t>
      </w:r>
      <w:r>
        <w:t xml:space="preserve"> y </w:t>
      </w:r>
      <w:r>
        <w:rPr>
          <w:i/>
        </w:rPr>
        <w:t>When Button Pressed</w:t>
      </w:r>
      <w:r>
        <w:t xml:space="preserve"> = DESCARGAR.</w:t>
      </w:r>
    </w:p>
    <w:p>
      <w:pPr>
        <w:spacing w:after="60"/>
        <w:ind w:left="369" w:hanging="255"/>
      </w:pPr>
      <w:r>
        <w:t xml:space="preserve">6. </w:t>
      </w:r>
      <w:r>
        <w:t xml:space="preserve">Descargue: debe obtener un PDF de 2 páginas igual a </w:t>
      </w:r>
      <w:r>
        <w:rPr>
          <w:rFonts w:ascii="Consolas" w:hAnsi="Consolas"/>
          <w:color w:val="233648"/>
          <w:sz w:val="16"/>
        </w:rPr>
        <w:t>ejemplo_estado_cuenta.pdf</w:t>
      </w:r>
      <w:r>
        <w:t xml:space="preserve"> (saldo pendiente 8,100.00).</w:t>
      </w:r>
    </w:p>
    <w:p>
      <w:r>
        <w:t xml:space="preserve">La plantilla se regenera con </w:t>
      </w:r>
      <w:r>
        <w:rPr>
          <w:rFonts w:ascii="Consolas" w:hAnsi="Consolas"/>
          <w:color w:val="233648"/>
          <w:sz w:val="16"/>
        </w:rPr>
        <w:t>python tools\generate_layout_template.py</w:t>
      </w:r>
      <w:r>
        <w:t xml:space="preserve">; deja una copia en </w:t>
      </w:r>
      <w:r>
        <w:rPr>
          <w:rFonts w:ascii="Consolas" w:hAnsi="Consolas"/>
          <w:color w:val="233648"/>
          <w:sz w:val="16"/>
        </w:rPr>
        <w:t>templates\estado_cuenta_layout.docx</w:t>
      </w:r>
      <w:r>
        <w:t>.</w:t>
      </w:r>
    </w:p>
    <w:p>
      <w:pPr>
        <w:pStyle w:val="Heading1"/>
        <w:keepNext/>
      </w:pPr>
      <w:r>
        <w:t>Validar y compilar las demos</w:t>
      </w:r>
    </w:p>
    <w:p>
      <w:r>
        <w:t>Desde la raíz del proyecto, con el entorno virtual activado: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# 1. Validar: no escribe archivos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python -m corporate_report_compiler validate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.\proyectos\demo\entidades\generado\entidades.report.json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2. Compilar: sin --output, lo que se sube a APEX queda junto al DOCX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   y el material de trabajo en generado\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python -m corporate_report_compiler compile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.\proyectos\demo\entidades\generado\entidades.report.json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python -m corporate_report_compiler compile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.\proyectos\demo\estado_cuenta\generado\estado_cuenta.report.json</w:t>
            </w:r>
          </w:p>
        </w:tc>
      </w:tr>
    </w:tbl>
    <w:p>
      <w:r>
        <w:t xml:space="preserve">Los archivos compilados que acompañan a las demos son también la referencia que detecta regresiones: tras compilar, </w:t>
      </w:r>
      <w:r>
        <w:rPr>
          <w:rFonts w:ascii="Consolas" w:hAnsi="Consolas"/>
          <w:color w:val="233648"/>
          <w:sz w:val="16"/>
        </w:rPr>
        <w:t>git status</w:t>
      </w:r>
      <w:r>
        <w:t xml:space="preserve"> no debe mostrar cambios en </w:t>
      </w:r>
      <w:r>
        <w:rPr>
          <w:rFonts w:ascii="Consolas" w:hAnsi="Consolas"/>
          <w:color w:val="233648"/>
          <w:sz w:val="16"/>
        </w:rPr>
        <w:t>proyectos\demo</w:t>
      </w:r>
      <w:r>
        <w:t xml:space="preserve">. Las pruebas automáticas </w:t>
      </w:r>
      <w:r>
        <w:rPr>
          <w:rFonts w:ascii="Consolas" w:hAnsi="Consolas"/>
          <w:color w:val="233648"/>
          <w:sz w:val="16"/>
        </w:rPr>
        <w:t>tests\test_workspace.py</w:t>
      </w:r>
      <w:r>
        <w:t xml:space="preserve"> y </w:t>
      </w:r>
      <w:r>
        <w:rPr>
          <w:rFonts w:ascii="Consolas" w:hAnsi="Consolas"/>
          <w:color w:val="233648"/>
          <w:sz w:val="16"/>
        </w:rPr>
        <w:t>tests\test_layout.py</w:t>
      </w:r>
      <w:r>
        <w:t xml:space="preserve"> compilan una copia de cada demo y la comparan byte a byte.</w:t>
      </w:r>
    </w:p>
    <w:p>
      <w:r>
        <w:t>En Linux o macOS: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PYTHONPATH=src python -m corporate_report_compiler compile 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proyectos/demo/entidades/generado/entidades.report.json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git status --short proyectos/demo     # sin salida = idéntico a la referencia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Lo que se sube a APEX (junto al DOCX)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Material de trabajo (generado/)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Simple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apex_process.sql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template.json, validation.json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Layout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apex_process.sql, rpt_&lt;nombre&gt;.sql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layout.json, validation.json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Cargar de nuevo un DOCX con el mismo nombre</w:t>
      </w:r>
    </w:p>
    <w:p>
      <w:r>
        <w:t xml:space="preserve">«Nuevo proyecto desde DOCX» (o </w:t>
      </w:r>
      <w:r>
        <w:rPr>
          <w:rFonts w:ascii="Consolas" w:hAnsi="Consolas"/>
          <w:color w:val="233648"/>
          <w:sz w:val="16"/>
        </w:rPr>
        <w:t>apex-report-compiler new --docx ...</w:t>
      </w:r>
      <w:r>
        <w:t xml:space="preserve">) copia el Word a </w:t>
      </w:r>
      <w:r>
        <w:rPr>
          <w:rFonts w:ascii="Consolas" w:hAnsi="Consolas"/>
          <w:color w:val="233648"/>
          <w:sz w:val="16"/>
        </w:rPr>
        <w:t>proyectos/&lt;nombre&gt;/</w:t>
      </w:r>
      <w:r>
        <w:t xml:space="preserve">. Si esa carpeta ya existe, pide confirmación y reemplaza únicamente sus archivos conocidos: el DOCX, lo que se sube a APEX y los archivos de </w:t>
      </w:r>
      <w:r>
        <w:rPr>
          <w:rFonts w:ascii="Consolas" w:hAnsi="Consolas"/>
          <w:color w:val="233648"/>
          <w:sz w:val="16"/>
        </w:rPr>
        <w:t>generado/</w:t>
      </w:r>
      <w:r>
        <w:t xml:space="preserve">. Antes de reemplazar cada uno guarda una copia </w:t>
      </w:r>
      <w:r>
        <w:rPr>
          <w:rFonts w:ascii="Consolas" w:hAnsi="Consolas"/>
          <w:color w:val="233648"/>
          <w:sz w:val="16"/>
        </w:rPr>
        <w:t>generado/&lt;archivo&gt;.bak</w:t>
      </w:r>
      <w:r>
        <w:t>; la siguiente carga sobrescribe esa copia. Cualquier otro archivo que haya puesto en la carpeta (documentación, notas, capturas, datos de prueba) no se toca.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# Primera carga desde cualquier carpeta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apex-report-compiler new --docx C:\Descargas\ventas.docx --page 42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Nueva versión del Word con el mismo nombre: sin --replace se detiene (GUIDE-002)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apex-report-compiler new --docx C:\Descargas\ventas.docx --page 42 --replace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  proyectos\ventas\generado\ventas.sql.bak         &lt;- su SQL editado anterior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#   proyectos\ventas\generado\ventas.report.json.bak &lt;- su proyecto anterior</w:t>
            </w:r>
          </w:p>
        </w:tc>
      </w:tr>
    </w:tbl>
    <w:p>
      <w:r>
        <w:t xml:space="preserve">Después de reemplazar, recupere desde los </w:t>
      </w:r>
      <w:r>
        <w:rPr>
          <w:rFonts w:ascii="Consolas" w:hAnsi="Consolas"/>
          <w:color w:val="233648"/>
          <w:sz w:val="16"/>
        </w:rPr>
        <w:t>.bak</w:t>
      </w:r>
      <w:r>
        <w:t xml:space="preserve"> lo que había editado a mano (tablas reales, filtros, anchos) y vuelva a compilar.</w:t>
      </w:r>
    </w:p>
    <w:p>
      <w:pPr>
        <w:pStyle w:val="Heading1"/>
        <w:keepNext/>
      </w:pPr>
      <w:r>
        <w:t>De una demo a un reporte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Copiar entidades.docx con otro nombre y editarlo en Word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etiquetas, estilos y columnas; mantener los marcadores {{...}}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COMPILADOR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Nuevo proyecto desde DOCX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copia el Word a proyectos\&lt;nombre&gt;\ y crea automáticamente generado\&lt;nombre&gt;.sql y .report.json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Adaptar SQL y proyecto en generado\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tablas reales, aliases del DOCX, Page Items, título y anchos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COMPILADOR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Validar y compilar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apex_process.sql (junto al DOCX) y generado\template.json se regeneran automáticamente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APEX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Pegar proyectos\&lt;nombre&gt;\apex_process.sql y probar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Manual de uso, sección 9</w:t>
            </w:r>
          </w:p>
        </w:tc>
      </w:tr>
    </w:tbl>
    <w:p>
      <w:pPr>
        <w:spacing w:before="60"/>
        <w:jc w:val="center"/>
      </w:pPr>
      <w:r>
        <w:rPr>
          <w:i/>
          <w:color w:val="4A5563"/>
          <w:sz w:val="16"/>
        </w:rPr>
        <w:t>Figura 1. Modo simple: de entidades a un reporte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Diseñar el Word copiando estado_cuenta.docx o con el prompt de IA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docs\PROMPT_IA_PLANTILLA.txt genera la primera versión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COMPILADOR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Nuevo proyecto desde DOCX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crea generado\q_&lt;consulta&gt;.sql por cada consulta y el .report.json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INFORMÁTICA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Pegar en cada q_&lt;consulta&gt;.sql la Query del reporte original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declarar los parámetros :P_NOMBRE en 'parameters'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COMPILADOR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Validar y compilar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rpt_&lt;nombre&gt;.sql y apex_process.sql quedan junto al DOCX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</w:pPr>
          </w:p>
        </w:tc>
        <w:tc>
          <w:tcPr>
            <w:tcW w:type="dxa" w:w="6350"/>
          </w:tcPr>
          <w:p>
            <w:pPr>
              <w:keepNext/>
              <w:spacing w:after="0" w:line="216" w:lineRule="auto"/>
              <w:jc w:val="center"/>
            </w:pPr>
            <w:r>
              <w:rPr>
                <w:color w:val="4A5563"/>
                <w:sz w:val="18"/>
              </w:rPr>
              <w:t>▼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40" w:type="dxa"/>
              <w:start w:w="60" w:type="dxa"/>
              <w:bottom w:w="40" w:type="dxa"/>
              <w:end w:w="14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ptos" w:hAnsi="Aptos"/>
                <w:b/>
                <w:color w:val="4A5563"/>
                <w:sz w:val="14"/>
              </w:rPr>
              <w:t>APEX</w:t>
            </w:r>
          </w:p>
        </w:tc>
        <w:tc>
          <w:tcPr>
            <w:tcW w:type="dxa" w:w="6350"/>
            <w:vAlign w:val="center"/>
            <w:shd w:fill="E8EDF2"/>
            <w:tcBorders>
              <w:top w:val="single" w:sz="8" w:space="0" w:color="283848"/>
              <w:left w:val="single" w:sz="8" w:space="0" w:color="283848"/>
              <w:bottom w:val="single" w:sz="8" w:space="0" w:color="283848"/>
              <w:right w:val="single" w:sz="8" w:space="0" w:color="283848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color w:val="283848"/>
                <w:sz w:val="17"/>
              </w:rPr>
              <w:t>Instalar rpt_&lt;nombre&gt;.sql y pegar apex_process.sql</w:t>
            </w:r>
          </w:p>
          <w:p>
            <w:pPr>
              <w:keepNext/>
              <w:spacing w:after="0"/>
              <w:jc w:val="center"/>
            </w:pPr>
            <w:r>
              <w:rPr>
                <w:sz w:val="15"/>
              </w:rPr>
              <w:t>Manual de uso, sección 13</w:t>
            </w:r>
          </w:p>
        </w:tc>
      </w:tr>
    </w:tbl>
    <w:p>
      <w:pPr>
        <w:spacing w:before="60"/>
        <w:jc w:val="center"/>
      </w:pPr>
      <w:r>
        <w:rPr>
          <w:i/>
          <w:color w:val="4A5563"/>
          <w:sz w:val="16"/>
        </w:rPr>
        <w:t>Figura 2. Modo layout: de estado_cuenta a un reporte real</w:t>
      </w:r>
    </w:p>
    <w:p>
      <w:pPr>
        <w:spacing w:after="60"/>
        <w:ind w:left="369" w:hanging="255"/>
      </w:pPr>
      <w:r>
        <w:t xml:space="preserve">1. </w:t>
      </w:r>
      <w:r>
        <w:t>Cambiar las tablas y joins del SQL manteniendo los aliases del DOCX.</w:t>
      </w:r>
    </w:p>
    <w:p>
      <w:pPr>
        <w:spacing w:after="60"/>
        <w:ind w:left="369" w:hanging="255"/>
      </w:pPr>
      <w:r>
        <w:t xml:space="preserve">2. </w:t>
      </w:r>
      <w:r>
        <w:t>Cambiar los Page Items (</w:t>
      </w:r>
      <w:r>
        <w:rPr>
          <w:rFonts w:ascii="Consolas" w:hAnsi="Consolas"/>
          <w:color w:val="233648"/>
          <w:sz w:val="16"/>
        </w:rPr>
        <w:t>bindings</w:t>
      </w:r>
      <w:r>
        <w:t xml:space="preserve"> en modo simple, </w:t>
      </w:r>
      <w:r>
        <w:rPr>
          <w:rFonts w:ascii="Consolas" w:hAnsi="Consolas"/>
          <w:color w:val="233648"/>
          <w:sz w:val="16"/>
        </w:rPr>
        <w:t>parameters</w:t>
      </w:r>
      <w:r>
        <w:t xml:space="preserve"> en modo layout) por los de la página.</w:t>
      </w:r>
    </w:p>
    <w:p>
      <w:pPr>
        <w:spacing w:after="60"/>
        <w:ind w:left="369" w:hanging="255"/>
      </w:pPr>
      <w:r>
        <w:t xml:space="preserve">3. </w:t>
      </w:r>
      <w:r>
        <w:t xml:space="preserve">Si se añade o quita una columna en Word, añadir o quitar su alias en el </w:t>
      </w:r>
      <w:r>
        <w:rPr>
          <w:rFonts w:ascii="Consolas" w:hAnsi="Consolas"/>
          <w:color w:val="233648"/>
          <w:sz w:val="16"/>
        </w:rPr>
        <w:t>SELECT</w:t>
      </w:r>
      <w:r>
        <w:t xml:space="preserve"> y, si figura, en </w:t>
      </w:r>
      <w:r>
        <w:rPr>
          <w:rFonts w:ascii="Consolas" w:hAnsi="Consolas"/>
          <w:color w:val="233648"/>
          <w:sz w:val="16"/>
        </w:rPr>
        <w:t>column_widths</w:t>
      </w:r>
      <w:r>
        <w:t>. Las etiquetas, estilos y el orden se toman automáticamente del DOCX al recompilar.</w:t>
      </w:r>
    </w:p>
    <w:p>
      <w:pPr>
        <w:spacing w:after="60"/>
        <w:ind w:left="369" w:hanging="255"/>
      </w:pPr>
      <w:r>
        <w:t xml:space="preserve">4. </w:t>
      </w:r>
      <w:r>
        <w:t xml:space="preserve">Ajustar título, nombre de archivo, campos, exclusiones y anchos directamente en el </w:t>
      </w:r>
      <w:r>
        <w:rPr>
          <w:rFonts w:ascii="Consolas" w:hAnsi="Consolas"/>
          <w:color w:val="233648"/>
          <w:sz w:val="16"/>
        </w:rPr>
        <w:t>.report.json</w:t>
      </w:r>
      <w:r>
        <w:t>.</w:t>
      </w:r>
    </w:p>
    <w:p>
      <w:pPr>
        <w:spacing w:after="60"/>
        <w:ind w:left="369" w:hanging="255"/>
      </w:pPr>
      <w:r>
        <w:t xml:space="preserve">5. </w:t>
      </w:r>
      <w:r>
        <w:t>Validar y compilar localmente.</w:t>
      </w:r>
    </w:p>
    <w:p>
      <w:pPr>
        <w:spacing w:after="60"/>
        <w:ind w:left="369" w:hanging="255"/>
      </w:pPr>
      <w:r>
        <w:t xml:space="preserve">6. </w:t>
      </w:r>
      <w:r>
        <w:t>Revisar los archivos generados.</w:t>
      </w:r>
    </w:p>
    <w:p>
      <w:pPr>
        <w:spacing w:after="60"/>
        <w:ind w:left="369" w:hanging="255"/>
      </w:pPr>
      <w:r>
        <w:t xml:space="preserve">7. </w:t>
      </w:r>
      <w:r>
        <w:t>Publicar en APEX y probarlo allí. Una validación local correcta no equivale a aceptación en APEX.</w:t>
      </w:r>
    </w:p>
    <w:p>
      <w:r>
        <w:t>El SQL, el JSON y el proceso son artefactos administrados por Informática. No deben recibirse desde el navegador ni ser editables por el usuario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3"/>
        <w:sz w:val="15"/>
      </w:rPr>
      <w:t>Uso interno · Oracle APEX 24.2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3"/>
        <w:sz w:val="15"/>
      </w:rPr>
      <w:t>APEX WORD REPORT COMPILER  ·  DOCUMENTACIÓN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2B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38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83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Proyectos de demostración</dc:title>
  <dc:subject>entidades (modo simple, página 70) y estado_cuenta (modo layout, página 71)</dc:subject>
  <dc:creator>Área de Informática</dc:creator>
  <cp:keywords>Oracle APEX, reportes, Word, APEX_DATA_EXPORT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